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8E5D" w14:textId="77F913C0" w:rsidR="00103ED4" w:rsidRPr="00103ED4" w:rsidRDefault="00103ED4" w:rsidP="00103ED4">
      <w:pPr>
        <w:keepNext/>
        <w:keepLines/>
        <w:pBdr>
          <w:bottom w:val="single" w:sz="4" w:space="4" w:color="000000"/>
        </w:pBdr>
        <w:jc w:val="both"/>
        <w:rPr>
          <w:rFonts w:ascii="Optima" w:eastAsia="Optima" w:hAnsi="Optima" w:cs="Optima"/>
          <w:b/>
          <w:bCs/>
          <w:sz w:val="28"/>
          <w:szCs w:val="28"/>
        </w:rPr>
      </w:pPr>
      <w:r w:rsidRPr="00103ED4">
        <w:rPr>
          <w:rFonts w:ascii="Optima" w:eastAsia="Optima" w:hAnsi="Optima" w:cs="Optima"/>
          <w:b/>
          <w:bCs/>
          <w:sz w:val="28"/>
          <w:szCs w:val="28"/>
          <w:lang w:val="fr"/>
        </w:rPr>
        <w:t xml:space="preserve">Annexe 6 </w:t>
      </w:r>
      <w:r w:rsidR="001F4780">
        <w:rPr>
          <w:rFonts w:ascii="Optima" w:eastAsia="Optima" w:hAnsi="Optima" w:cs="Optima"/>
          <w:b/>
          <w:bCs/>
          <w:sz w:val="28"/>
          <w:szCs w:val="28"/>
          <w:lang w:val="fr"/>
        </w:rPr>
        <w:t>-</w:t>
      </w:r>
      <w:r w:rsidRPr="00103ED4">
        <w:rPr>
          <w:rFonts w:ascii="Optima" w:eastAsia="Optima" w:hAnsi="Optima" w:cs="Optima"/>
          <w:b/>
          <w:bCs/>
          <w:sz w:val="28"/>
          <w:szCs w:val="28"/>
          <w:lang w:val="fr"/>
        </w:rPr>
        <w:t xml:space="preserve"> Système d’échanges national des centres sociaux (SENACS)</w:t>
      </w:r>
    </w:p>
    <w:p w14:paraId="2F4E6672" w14:textId="77777777" w:rsidR="00103ED4" w:rsidRPr="00103ED4" w:rsidRDefault="00103ED4" w:rsidP="00103ED4">
      <w:pPr>
        <w:spacing w:before="180" w:after="180"/>
        <w:jc w:val="both"/>
        <w:rPr>
          <w:rFonts w:ascii="Optima" w:eastAsia="Optima" w:hAnsi="Optima" w:cs="Optima"/>
          <w:color w:val="000000" w:themeColor="text1"/>
        </w:rPr>
      </w:pPr>
      <w:r w:rsidRPr="00103ED4">
        <w:rPr>
          <w:rFonts w:ascii="Optima" w:eastAsia="Optima" w:hAnsi="Optima" w:cs="Optima"/>
          <w:color w:val="000000" w:themeColor="text1"/>
        </w:rPr>
        <w:t xml:space="preserve">Le </w:t>
      </w:r>
      <w:r w:rsidRPr="00103ED4">
        <w:rPr>
          <w:rFonts w:ascii="Optima" w:eastAsia="Optima" w:hAnsi="Optima" w:cs="Optima"/>
          <w:b/>
          <w:bCs/>
          <w:color w:val="000000" w:themeColor="text1"/>
        </w:rPr>
        <w:t xml:space="preserve">Système d’échanges national des centres sociaux et des espaces de vie sociale (SENACS) </w:t>
      </w:r>
      <w:r w:rsidRPr="00103ED4">
        <w:rPr>
          <w:rFonts w:ascii="Optima" w:eastAsia="Optima" w:hAnsi="Optima" w:cs="Optima"/>
          <w:color w:val="000000" w:themeColor="text1"/>
        </w:rPr>
        <w:t>est un o</w:t>
      </w:r>
      <w:r w:rsidRPr="00103ED4">
        <w:rPr>
          <w:rFonts w:ascii="Optima" w:eastAsia="Optima" w:hAnsi="Optima" w:cs="Optima"/>
          <w:b/>
          <w:bCs/>
          <w:color w:val="000000" w:themeColor="text1"/>
        </w:rPr>
        <w:t>bservatoire national de l’animation de la vie sociale, co-piloté par la Caisse nationale des allocations familiales (Cnaf) et la Fédération des centres sociaux et socioculturels de France (FCSF)</w:t>
      </w:r>
      <w:r w:rsidRPr="00103ED4">
        <w:rPr>
          <w:rFonts w:ascii="Optima" w:eastAsia="Optima" w:hAnsi="Optima" w:cs="Optima"/>
          <w:color w:val="000000" w:themeColor="text1"/>
        </w:rPr>
        <w:t>. Lancé initialement à titre expérimental en région Rhône-Alpes (projet SERACS) et étendu à l’ensemble du territoire à partir de 2011, ce dispositif recueille et analyse chaque année, depuis plus de dix ans, les données des centres sociaux et des espaces de vie sociale (EVS) en métropole comme en outre-mer. Il dresse ainsi un état des lieux dynamique du réseau et de ses activités, et constitue un outil stratégique au service du pilotage de la politique d’animation de la vie sociale par la Branche Famille et ses partenaires.</w:t>
      </w:r>
    </w:p>
    <w:p w14:paraId="6DBCE307" w14:textId="77777777" w:rsidR="00103ED4" w:rsidRPr="00103ED4" w:rsidRDefault="00103ED4" w:rsidP="00103ED4">
      <w:pPr>
        <w:spacing w:before="180" w:after="180"/>
        <w:jc w:val="both"/>
        <w:rPr>
          <w:rFonts w:ascii="Optima" w:eastAsia="Optima" w:hAnsi="Optima" w:cs="Optima"/>
          <w:color w:val="000000" w:themeColor="text1"/>
        </w:rPr>
      </w:pPr>
      <w:r w:rsidRPr="00103ED4">
        <w:rPr>
          <w:rFonts w:ascii="Optima" w:eastAsia="Optima" w:hAnsi="Optima" w:cs="Optima"/>
          <w:color w:val="000000" w:themeColor="text1"/>
          <w:lang w:val="fr"/>
        </w:rPr>
        <w:t>Plusieurs finalités complémentaires sont poursuivies à travers la démarche SENACS, en cohérence avec les objectifs de la Branche Famille :</w:t>
      </w:r>
    </w:p>
    <w:p w14:paraId="025E658E" w14:textId="77777777" w:rsidR="00103ED4" w:rsidRPr="00103ED4" w:rsidRDefault="00103ED4" w:rsidP="00103ED4">
      <w:pPr>
        <w:numPr>
          <w:ilvl w:val="0"/>
          <w:numId w:val="10"/>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Améliorer la connaissance et l’anticipation :</w:t>
      </w:r>
      <w:r w:rsidRPr="00103ED4">
        <w:rPr>
          <w:rFonts w:ascii="Optima" w:eastAsia="Optima" w:hAnsi="Optima" w:cs="Optima"/>
          <w:color w:val="000000" w:themeColor="text1"/>
          <w:lang w:val="fr"/>
        </w:rPr>
        <w:t xml:space="preserve"> disposer d’une base d’informations factuelles sur les équipements, les publics accueillis, les ressources mobilisées et les actions menées afin d’anticiper les évolutions du réseau et d’apprécier sa capacité d’adaptation et d’innovation.</w:t>
      </w:r>
    </w:p>
    <w:p w14:paraId="7A6A9C2C" w14:textId="77777777" w:rsidR="00103ED4" w:rsidRPr="00103ED4" w:rsidRDefault="00103ED4" w:rsidP="00103ED4">
      <w:pPr>
        <w:numPr>
          <w:ilvl w:val="0"/>
          <w:numId w:val="10"/>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Nourrir le développement qualitatif :</w:t>
      </w:r>
      <w:r w:rsidRPr="00103ED4">
        <w:rPr>
          <w:rFonts w:ascii="Optima" w:eastAsia="Optima" w:hAnsi="Optima" w:cs="Optima"/>
          <w:color w:val="000000" w:themeColor="text1"/>
          <w:lang w:val="fr"/>
        </w:rPr>
        <w:t xml:space="preserve"> créer une ressource collective partagée par les acteurs (Caf, fédérations, structures AVS) pour appuyer l’amélioration continue des projets sociaux et des actions menées sur le terrain. Ce partage de connaissances contribue à promouvoir le concept d’animation globale et ses effets, en identifiant des indicateurs pertinents pour valoriser le cœur de métier des centres sociaux, notamment dans le cadre de la procédure d’agrément des projets par les conseils d’administration des Caf.</w:t>
      </w:r>
    </w:p>
    <w:p w14:paraId="66F64EE7" w14:textId="77777777" w:rsidR="00103ED4" w:rsidRPr="00103ED4" w:rsidRDefault="00103ED4" w:rsidP="00103ED4">
      <w:pPr>
        <w:numPr>
          <w:ilvl w:val="0"/>
          <w:numId w:val="10"/>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Valoriser l’utilité sociale et la visibilité :</w:t>
      </w:r>
      <w:r w:rsidRPr="00103ED4">
        <w:rPr>
          <w:rFonts w:ascii="Optima" w:eastAsia="Optima" w:hAnsi="Optima" w:cs="Optima"/>
          <w:color w:val="000000" w:themeColor="text1"/>
          <w:lang w:val="fr"/>
        </w:rPr>
        <w:t xml:space="preserve"> rendre plus visible et lisible ce que sont et ce que font les équipements d’animation de la vie sociale, en diffusant régulièrement des synthèses et analyses sur leurs activités. </w:t>
      </w:r>
    </w:p>
    <w:p w14:paraId="123DDBB2" w14:textId="77777777" w:rsidR="00103ED4" w:rsidRPr="00103ED4" w:rsidRDefault="00103ED4" w:rsidP="00103ED4">
      <w:pPr>
        <w:numPr>
          <w:ilvl w:val="0"/>
          <w:numId w:val="10"/>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Fédérer les acteurs et soutenir les initiatives :</w:t>
      </w:r>
      <w:r w:rsidRPr="00103ED4">
        <w:rPr>
          <w:rFonts w:ascii="Optima" w:eastAsia="Optima" w:hAnsi="Optima" w:cs="Optima"/>
          <w:color w:val="000000" w:themeColor="text1"/>
          <w:lang w:val="fr"/>
        </w:rPr>
        <w:t xml:space="preserve"> instituer un espace de dialogue et d’échange entre acteurs (professionnels des Caf, fédérations, élus, bénévoles, professionnels des centres sociaux et EVS) autour des projets sociaux menés. La démarche SENACS encourage ainsi les rencontres et la coopération, tout en accompagnant les initiatives de développement social local et l’implantation de nouveaux équipements dans les territoires dépourvus de structures d’animation de la vie sociale.</w:t>
      </w:r>
    </w:p>
    <w:p w14:paraId="6A220517" w14:textId="77777777" w:rsidR="00103ED4" w:rsidRPr="00103ED4" w:rsidRDefault="00103ED4" w:rsidP="00103ED4">
      <w:pPr>
        <w:jc w:val="both"/>
        <w:rPr>
          <w:rFonts w:ascii="Optima" w:eastAsia="Optima" w:hAnsi="Optima" w:cs="Optima"/>
          <w:color w:val="000000" w:themeColor="text1"/>
        </w:rPr>
      </w:pPr>
    </w:p>
    <w:p w14:paraId="362A43DC" w14:textId="77777777" w:rsidR="00103ED4" w:rsidRPr="00103ED4" w:rsidRDefault="00103ED4" w:rsidP="00103ED4">
      <w:pPr>
        <w:keepNext/>
        <w:keepLines/>
        <w:numPr>
          <w:ilvl w:val="0"/>
          <w:numId w:val="9"/>
        </w:numPr>
        <w:spacing w:before="160" w:after="80"/>
        <w:jc w:val="both"/>
        <w:outlineLvl w:val="1"/>
        <w:rPr>
          <w:rFonts w:ascii="Optima" w:eastAsia="Optima" w:hAnsi="Optima" w:cs="Optima"/>
          <w:color w:val="0F4761" w:themeColor="accent1" w:themeShade="BF"/>
        </w:rPr>
      </w:pPr>
      <w:r w:rsidRPr="00103ED4">
        <w:rPr>
          <w:rFonts w:ascii="Optima" w:eastAsia="Optima" w:hAnsi="Optima" w:cs="Optima"/>
          <w:color w:val="0F4761" w:themeColor="accent1" w:themeShade="BF"/>
          <w:lang w:val="fr"/>
        </w:rPr>
        <w:t>Missions principales et fonctionnement de SENACS</w:t>
      </w:r>
    </w:p>
    <w:p w14:paraId="0E7A161B" w14:textId="77777777" w:rsidR="00103ED4" w:rsidRPr="00103ED4" w:rsidRDefault="00103ED4" w:rsidP="00103ED4">
      <w:pPr>
        <w:spacing w:before="180" w:after="180"/>
        <w:jc w:val="both"/>
        <w:rPr>
          <w:rFonts w:ascii="Optima" w:eastAsia="Optima" w:hAnsi="Optima" w:cs="Optima"/>
          <w:color w:val="000000" w:themeColor="text1"/>
        </w:rPr>
      </w:pPr>
      <w:r w:rsidRPr="00103ED4">
        <w:rPr>
          <w:rFonts w:ascii="Optima" w:eastAsia="Optima" w:hAnsi="Optima" w:cs="Optima"/>
          <w:color w:val="000000" w:themeColor="text1"/>
          <w:lang w:val="fr"/>
        </w:rPr>
        <w:t>Pour atteindre ses finalités, la démarche SENACS s’organise autour de plusieurs missions opérationnelles :</w:t>
      </w:r>
    </w:p>
    <w:p w14:paraId="7CAED2B6" w14:textId="77777777" w:rsidR="00103ED4" w:rsidRPr="00103ED4" w:rsidRDefault="00103ED4" w:rsidP="00103ED4">
      <w:pPr>
        <w:numPr>
          <w:ilvl w:val="0"/>
          <w:numId w:val="8"/>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Collecte et observation nationales :</w:t>
      </w:r>
      <w:r w:rsidRPr="00103ED4">
        <w:rPr>
          <w:rFonts w:ascii="Optima" w:eastAsia="Optima" w:hAnsi="Optima" w:cs="Optima"/>
          <w:color w:val="000000" w:themeColor="text1"/>
          <w:lang w:val="fr"/>
        </w:rPr>
        <w:t xml:space="preserve"> centraliser chaque année la collecte de données sur l’ensemble du réseau des centres sociaux et EVS, afin de produire un </w:t>
      </w:r>
      <w:r w:rsidRPr="00103ED4">
        <w:rPr>
          <w:rFonts w:ascii="Optima" w:eastAsia="Optima" w:hAnsi="Optima" w:cs="Optima"/>
          <w:b/>
          <w:bCs/>
          <w:color w:val="000000" w:themeColor="text1"/>
          <w:lang w:val="fr"/>
        </w:rPr>
        <w:t>panorama statistique consolidé de l’activité du secteur</w:t>
      </w:r>
      <w:r w:rsidRPr="00103ED4">
        <w:rPr>
          <w:rFonts w:ascii="Optima" w:eastAsia="Optima" w:hAnsi="Optima" w:cs="Optima"/>
          <w:color w:val="000000" w:themeColor="text1"/>
          <w:lang w:val="fr"/>
        </w:rPr>
        <w:t xml:space="preserve">. </w:t>
      </w:r>
    </w:p>
    <w:p w14:paraId="59D68634" w14:textId="77777777" w:rsidR="00103ED4" w:rsidRPr="00103ED4" w:rsidRDefault="00103ED4" w:rsidP="00103ED4">
      <w:pPr>
        <w:numPr>
          <w:ilvl w:val="0"/>
          <w:numId w:val="8"/>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Échange et coopérations entre acteurs :</w:t>
      </w:r>
      <w:r w:rsidRPr="00103ED4">
        <w:rPr>
          <w:rFonts w:ascii="Optima" w:eastAsia="Optima" w:hAnsi="Optima" w:cs="Optima"/>
          <w:color w:val="000000" w:themeColor="text1"/>
          <w:lang w:val="fr"/>
        </w:rPr>
        <w:t xml:space="preserve"> susciter le dialogue et la rencontre entre les </w:t>
      </w:r>
      <w:r w:rsidRPr="00103ED4">
        <w:rPr>
          <w:rFonts w:ascii="Optima" w:eastAsia="Optima" w:hAnsi="Optima" w:cs="Optima"/>
          <w:b/>
          <w:bCs/>
          <w:color w:val="000000" w:themeColor="text1"/>
          <w:lang w:val="fr"/>
        </w:rPr>
        <w:t>Caf</w:t>
      </w:r>
      <w:r w:rsidRPr="00103ED4">
        <w:rPr>
          <w:rFonts w:ascii="Optima" w:eastAsia="Optima" w:hAnsi="Optima" w:cs="Optima"/>
          <w:color w:val="000000" w:themeColor="text1"/>
          <w:lang w:val="fr"/>
        </w:rPr>
        <w:t xml:space="preserve"> (Caisses d’allocations familiales), les </w:t>
      </w:r>
      <w:r w:rsidRPr="00103ED4">
        <w:rPr>
          <w:rFonts w:ascii="Optima" w:eastAsia="Optima" w:hAnsi="Optima" w:cs="Optima"/>
          <w:b/>
          <w:bCs/>
          <w:color w:val="000000" w:themeColor="text1"/>
          <w:lang w:val="fr"/>
        </w:rPr>
        <w:t>structures AVS et leurs têtes de réseau</w:t>
      </w:r>
      <w:r w:rsidRPr="00103ED4">
        <w:rPr>
          <w:rFonts w:ascii="Optima" w:eastAsia="Optima" w:hAnsi="Optima" w:cs="Optima"/>
          <w:color w:val="000000" w:themeColor="text1"/>
          <w:lang w:val="fr"/>
        </w:rPr>
        <w:t xml:space="preserve"> (fédérations départementales ou unions régionales). </w:t>
      </w:r>
    </w:p>
    <w:p w14:paraId="15E75CEC" w14:textId="77777777" w:rsidR="00103ED4" w:rsidRPr="00103ED4" w:rsidRDefault="00103ED4" w:rsidP="00103ED4">
      <w:pPr>
        <w:numPr>
          <w:ilvl w:val="0"/>
          <w:numId w:val="8"/>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Appui à l’évaluation et au pilotage stratégique :</w:t>
      </w:r>
      <w:r w:rsidRPr="00103ED4">
        <w:rPr>
          <w:rFonts w:ascii="Optima" w:eastAsia="Optima" w:hAnsi="Optima" w:cs="Optima"/>
          <w:color w:val="000000" w:themeColor="text1"/>
          <w:lang w:val="fr"/>
        </w:rPr>
        <w:t xml:space="preserve"> constituer une </w:t>
      </w:r>
      <w:r w:rsidRPr="00103ED4">
        <w:rPr>
          <w:rFonts w:ascii="Optima" w:eastAsia="Optima" w:hAnsi="Optima" w:cs="Optima"/>
          <w:b/>
          <w:bCs/>
          <w:color w:val="000000" w:themeColor="text1"/>
          <w:lang w:val="fr"/>
        </w:rPr>
        <w:t>ressource documentaire et analytique pour l’évaluation des projets sociaux et le pilotage de la politique AVS.</w:t>
      </w:r>
      <w:r w:rsidRPr="00103ED4">
        <w:rPr>
          <w:rFonts w:ascii="Optima" w:eastAsia="Optima" w:hAnsi="Optima" w:cs="Optima"/>
          <w:color w:val="000000" w:themeColor="text1"/>
          <w:lang w:val="fr"/>
        </w:rPr>
        <w:t xml:space="preserve"> Les </w:t>
      </w:r>
      <w:r w:rsidRPr="00103ED4">
        <w:rPr>
          <w:rFonts w:ascii="Optima" w:eastAsia="Optima" w:hAnsi="Optima" w:cs="Optima"/>
          <w:color w:val="000000" w:themeColor="text1"/>
          <w:lang w:val="fr"/>
        </w:rPr>
        <w:lastRenderedPageBreak/>
        <w:t xml:space="preserve">résultats issus de SENACS permettent d’évaluer l’impact collectif des centres sociaux sur les territoires et d’éclairer les décisions stratégiques des partenaires institutionnels aux échelons local et national. </w:t>
      </w:r>
    </w:p>
    <w:p w14:paraId="67E49004" w14:textId="77777777" w:rsidR="00103ED4" w:rsidRPr="00103ED4" w:rsidRDefault="00103ED4" w:rsidP="00103ED4">
      <w:pPr>
        <w:keepNext/>
        <w:keepLines/>
        <w:numPr>
          <w:ilvl w:val="0"/>
          <w:numId w:val="7"/>
        </w:numPr>
        <w:spacing w:before="160" w:after="80"/>
        <w:jc w:val="both"/>
        <w:outlineLvl w:val="2"/>
        <w:rPr>
          <w:rFonts w:ascii="Optima" w:eastAsia="Optima" w:hAnsi="Optima" w:cs="Optima"/>
          <w:color w:val="0F4761" w:themeColor="accent1" w:themeShade="BF"/>
        </w:rPr>
      </w:pPr>
      <w:r w:rsidRPr="00103ED4">
        <w:rPr>
          <w:rFonts w:ascii="Optima" w:eastAsia="Optima" w:hAnsi="Optima" w:cs="Optima"/>
          <w:color w:val="0F4761" w:themeColor="accent1" w:themeShade="BF"/>
          <w:lang w:val="fr"/>
        </w:rPr>
        <w:t>Gouvernance partagée du dispositif</w:t>
      </w:r>
    </w:p>
    <w:p w14:paraId="4675D1D4" w14:textId="77777777" w:rsidR="00103ED4" w:rsidRPr="00103ED4" w:rsidRDefault="00103ED4" w:rsidP="00103ED4">
      <w:pPr>
        <w:spacing w:before="180" w:after="180"/>
        <w:jc w:val="both"/>
        <w:rPr>
          <w:rFonts w:ascii="Optima" w:eastAsia="Optima" w:hAnsi="Optima" w:cs="Optima"/>
          <w:color w:val="000000" w:themeColor="text1"/>
        </w:rPr>
      </w:pPr>
      <w:r w:rsidRPr="00103ED4">
        <w:rPr>
          <w:rFonts w:ascii="Optima" w:eastAsia="Optima" w:hAnsi="Optima" w:cs="Optima"/>
          <w:color w:val="000000" w:themeColor="text1"/>
        </w:rPr>
        <w:t xml:space="preserve">L’observatoire SENACS repose sur une gouvernance partenariale, partagée entre la Branche Famille (réseau des Caf) et le mouvement des centres sociaux. </w:t>
      </w:r>
    </w:p>
    <w:p w14:paraId="30FF8CD4" w14:textId="77777777" w:rsidR="00103ED4" w:rsidRPr="00103ED4" w:rsidRDefault="00103ED4" w:rsidP="00103ED4">
      <w:pPr>
        <w:spacing w:before="180" w:after="180"/>
        <w:jc w:val="both"/>
        <w:rPr>
          <w:rFonts w:ascii="Optima" w:eastAsia="Optima" w:hAnsi="Optima" w:cs="Optima"/>
          <w:color w:val="000000" w:themeColor="text1"/>
        </w:rPr>
      </w:pPr>
      <w:r w:rsidRPr="00103ED4">
        <w:rPr>
          <w:rFonts w:ascii="Optima" w:eastAsia="Optima" w:hAnsi="Optima" w:cs="Optima"/>
          <w:color w:val="000000" w:themeColor="text1"/>
        </w:rPr>
        <w:t xml:space="preserve">Au niveau national, un </w:t>
      </w:r>
      <w:r w:rsidRPr="00103ED4">
        <w:rPr>
          <w:rFonts w:ascii="Optima" w:eastAsia="Optima" w:hAnsi="Optima" w:cs="Optima"/>
          <w:b/>
          <w:bCs/>
          <w:color w:val="000000" w:themeColor="text1"/>
        </w:rPr>
        <w:t>comité de pilotage</w:t>
      </w:r>
      <w:r w:rsidRPr="00103ED4">
        <w:rPr>
          <w:rFonts w:ascii="Optima" w:eastAsia="Optima" w:hAnsi="Optima" w:cs="Optima"/>
          <w:color w:val="000000" w:themeColor="text1"/>
        </w:rPr>
        <w:t xml:space="preserve"> stratégique associe des représentants de la Cnaf, de la Caf du Rhône (mandatée en maîtrise d’ouvrage déléguée) et de la FCSF, appuyés le cas échéant par l’Union régionale Auvergne–Rhône-Alpes (URACS). Cette instance partenariale assure la coordination générale de la démarche et veille à sa cohérence avec les orientations stratégiques de la politique familiale.</w:t>
      </w:r>
    </w:p>
    <w:p w14:paraId="56CA808C" w14:textId="77777777" w:rsidR="00103ED4" w:rsidRPr="00103ED4" w:rsidRDefault="00103ED4" w:rsidP="00103ED4">
      <w:pPr>
        <w:spacing w:before="180" w:after="180"/>
        <w:jc w:val="both"/>
        <w:rPr>
          <w:rFonts w:ascii="Optima" w:eastAsia="Optima" w:hAnsi="Optima" w:cs="Optima"/>
          <w:color w:val="000000" w:themeColor="text1"/>
        </w:rPr>
      </w:pPr>
      <w:r w:rsidRPr="00103ED4">
        <w:rPr>
          <w:rFonts w:ascii="Optima" w:eastAsia="Optima" w:hAnsi="Optima" w:cs="Optima"/>
          <w:color w:val="000000" w:themeColor="text1"/>
        </w:rPr>
        <w:t xml:space="preserve">Au niveau local, le pilotage est co-animé par chaque Caf et la représentation fédérale locale des centres sociaux (fédération départementale ou union régionale affiliée à la FCSF). </w:t>
      </w:r>
      <w:r w:rsidRPr="00103ED4">
        <w:rPr>
          <w:rFonts w:ascii="Optima" w:eastAsia="Optima" w:hAnsi="Optima" w:cs="Optima"/>
          <w:b/>
          <w:bCs/>
          <w:color w:val="000000" w:themeColor="text1"/>
        </w:rPr>
        <w:t>Selon les départements, cette organisation est formalisée par un protocole ou une convention locale</w:t>
      </w:r>
      <w:r w:rsidRPr="00103ED4">
        <w:rPr>
          <w:rFonts w:ascii="Optima" w:eastAsia="Optima" w:hAnsi="Optima" w:cs="Optima"/>
          <w:color w:val="000000" w:themeColor="text1"/>
        </w:rPr>
        <w:t xml:space="preserve">. Ce binôme de référents co-pilote la collecte des données et organise une analyse partagée des résultats, accompagne les structures lors de la saisie du questionnaire et offre un espace d’échange sur l’interprétation des données entre acteurs locaux (équipes Caf, fédérations, centres sociaux). Cette gouvernance à double niveau assure l’appropriation collective et des enseignements issus de l’observatoire. </w:t>
      </w:r>
    </w:p>
    <w:p w14:paraId="31B26B67" w14:textId="77777777" w:rsidR="00103ED4" w:rsidRPr="00103ED4" w:rsidRDefault="00103ED4" w:rsidP="00103ED4">
      <w:pPr>
        <w:keepNext/>
        <w:keepLines/>
        <w:numPr>
          <w:ilvl w:val="0"/>
          <w:numId w:val="7"/>
        </w:numPr>
        <w:spacing w:before="160" w:after="80"/>
        <w:jc w:val="both"/>
        <w:outlineLvl w:val="2"/>
        <w:rPr>
          <w:rFonts w:ascii="Optima" w:eastAsia="Optima" w:hAnsi="Optima" w:cs="Optima"/>
          <w:color w:val="0F4761" w:themeColor="accent1" w:themeShade="BF"/>
        </w:rPr>
      </w:pPr>
      <w:r w:rsidRPr="00103ED4">
        <w:rPr>
          <w:rFonts w:ascii="Optima" w:eastAsia="Optima" w:hAnsi="Optima" w:cs="Optima"/>
          <w:color w:val="0F4761" w:themeColor="accent1" w:themeShade="BF"/>
          <w:lang w:val="fr"/>
        </w:rPr>
        <w:t>L’enquête annuelle et l’accompagnement des structures</w:t>
      </w:r>
    </w:p>
    <w:p w14:paraId="24CF2184" w14:textId="77777777" w:rsidR="00103ED4" w:rsidRPr="00103ED4" w:rsidRDefault="00103ED4" w:rsidP="00103ED4">
      <w:pPr>
        <w:spacing w:before="180" w:after="180"/>
        <w:jc w:val="both"/>
        <w:rPr>
          <w:rFonts w:ascii="Optima" w:eastAsia="Optima" w:hAnsi="Optima" w:cs="Optima"/>
          <w:color w:val="000000" w:themeColor="text1"/>
        </w:rPr>
      </w:pPr>
      <w:r w:rsidRPr="00103ED4">
        <w:rPr>
          <w:rFonts w:ascii="Optima" w:eastAsia="Optima" w:hAnsi="Optima" w:cs="Optima"/>
          <w:color w:val="000000" w:themeColor="text1"/>
          <w:lang w:val="fr"/>
        </w:rPr>
        <w:t xml:space="preserve">Le fonctionnement opérationnel de SENACS s’articule autour d’une </w:t>
      </w:r>
      <w:r w:rsidRPr="00103ED4">
        <w:rPr>
          <w:rFonts w:ascii="Optima" w:eastAsia="Optima" w:hAnsi="Optima" w:cs="Optima"/>
          <w:b/>
          <w:bCs/>
          <w:color w:val="000000" w:themeColor="text1"/>
          <w:lang w:val="fr"/>
        </w:rPr>
        <w:t>campagne annuelle de collecte de données</w:t>
      </w:r>
      <w:r w:rsidRPr="00103ED4">
        <w:rPr>
          <w:rFonts w:ascii="Optima" w:eastAsia="Optima" w:hAnsi="Optima" w:cs="Optima"/>
          <w:color w:val="000000" w:themeColor="text1"/>
          <w:lang w:val="fr"/>
        </w:rPr>
        <w:t>. Chaque année, une enquête nationale en ligne est diffusée auprès de l’ensemble des centres sociaux et EVS agréés par les Caf. Le questionnaire comporte un socle fixe d’indicateurs reconduits chaque année (gouvernance associative, participation des habitants, partenariats, ressources humaines et financières, etc.) auquel s’ajoutent un ou deux modules thématiques variables permettant d’explorer des enjeux émergents ou prioritaires.</w:t>
      </w:r>
    </w:p>
    <w:p w14:paraId="3945894A" w14:textId="77777777" w:rsidR="00103ED4" w:rsidRPr="00103ED4" w:rsidRDefault="00103ED4" w:rsidP="00103ED4">
      <w:pPr>
        <w:spacing w:before="180" w:after="180"/>
        <w:jc w:val="both"/>
        <w:rPr>
          <w:rFonts w:ascii="Optima" w:eastAsia="Optima" w:hAnsi="Optima" w:cs="Optima"/>
          <w:color w:val="000000" w:themeColor="text1"/>
        </w:rPr>
      </w:pPr>
    </w:p>
    <w:p w14:paraId="3BB0A889" w14:textId="77777777" w:rsidR="00103ED4" w:rsidRPr="00103ED4" w:rsidRDefault="00103ED4" w:rsidP="00103ED4">
      <w:pPr>
        <w:keepNext/>
        <w:keepLines/>
        <w:numPr>
          <w:ilvl w:val="0"/>
          <w:numId w:val="6"/>
        </w:numPr>
        <w:spacing w:before="160" w:after="80"/>
        <w:jc w:val="both"/>
        <w:outlineLvl w:val="2"/>
        <w:rPr>
          <w:rFonts w:ascii="Optima" w:eastAsia="Optima" w:hAnsi="Optima" w:cs="Optima"/>
          <w:color w:val="0F4761" w:themeColor="accent1" w:themeShade="BF"/>
        </w:rPr>
      </w:pPr>
      <w:r w:rsidRPr="00103ED4">
        <w:rPr>
          <w:rFonts w:ascii="Optima" w:eastAsia="Optima" w:hAnsi="Optima" w:cs="Optima"/>
          <w:color w:val="0F4761" w:themeColor="accent1" w:themeShade="BF"/>
          <w:lang w:val="fr"/>
        </w:rPr>
        <w:t>Outils de suivi et productions de l’observatoire</w:t>
      </w:r>
    </w:p>
    <w:p w14:paraId="033E62A5" w14:textId="77777777" w:rsidR="00103ED4" w:rsidRPr="00103ED4" w:rsidRDefault="00103ED4" w:rsidP="00103ED4">
      <w:pPr>
        <w:spacing w:before="180" w:after="180"/>
        <w:jc w:val="both"/>
        <w:rPr>
          <w:rFonts w:ascii="Optima" w:eastAsia="Optima" w:hAnsi="Optima" w:cs="Optima"/>
          <w:color w:val="000000" w:themeColor="text1"/>
        </w:rPr>
      </w:pPr>
      <w:r w:rsidRPr="00103ED4">
        <w:rPr>
          <w:rFonts w:ascii="Optima" w:eastAsia="Optima" w:hAnsi="Optima" w:cs="Optima"/>
          <w:color w:val="000000" w:themeColor="text1"/>
          <w:lang w:val="fr"/>
        </w:rPr>
        <w:t xml:space="preserve">Les données collectées par SENACS sont valorisées à travers divers </w:t>
      </w:r>
      <w:r w:rsidRPr="00103ED4">
        <w:rPr>
          <w:rFonts w:ascii="Optima" w:eastAsia="Optima" w:hAnsi="Optima" w:cs="Optima"/>
          <w:b/>
          <w:bCs/>
          <w:color w:val="000000" w:themeColor="text1"/>
          <w:lang w:val="fr"/>
        </w:rPr>
        <w:t>outils et supports de restitution</w:t>
      </w:r>
      <w:r w:rsidRPr="00103ED4">
        <w:rPr>
          <w:rFonts w:ascii="Optima" w:eastAsia="Optima" w:hAnsi="Optima" w:cs="Optima"/>
          <w:color w:val="000000" w:themeColor="text1"/>
          <w:lang w:val="fr"/>
        </w:rPr>
        <w:t xml:space="preserve">, conçus pour répondre tant aux besoins des structures locales qu’aux exigences de pilotage des Caf. </w:t>
      </w:r>
    </w:p>
    <w:p w14:paraId="0B5B0360" w14:textId="77777777" w:rsidR="00103ED4" w:rsidRPr="00103ED4" w:rsidRDefault="00103ED4" w:rsidP="00103ED4">
      <w:pPr>
        <w:spacing w:before="180" w:after="180"/>
        <w:rPr>
          <w:rFonts w:ascii="Optima" w:eastAsia="Optima" w:hAnsi="Optima" w:cs="Optima"/>
          <w:color w:val="000000" w:themeColor="text1"/>
        </w:rPr>
      </w:pPr>
    </w:p>
    <w:p w14:paraId="3D9D2C88" w14:textId="77777777" w:rsidR="00103ED4" w:rsidRPr="00103ED4" w:rsidRDefault="00103ED4" w:rsidP="00103ED4">
      <w:pPr>
        <w:jc w:val="both"/>
      </w:pPr>
      <w:r w:rsidRPr="00103ED4">
        <w:rPr>
          <w:noProof/>
        </w:rPr>
        <w:lastRenderedPageBreak/>
        <w:drawing>
          <wp:inline distT="0" distB="0" distL="0" distR="0" wp14:anchorId="10EC5C2D" wp14:editId="5698D4D5">
            <wp:extent cx="5753100" cy="3152775"/>
            <wp:effectExtent l="0" t="0" r="0" b="0"/>
            <wp:docPr id="378450502" name="drawing" descr="Une image contenant texte, capture d’écran,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50502" name=""/>
                    <pic:cNvPicPr/>
                  </pic:nvPicPr>
                  <pic:blipFill>
                    <a:blip r:embed="rId5">
                      <a:extLst>
                        <a:ext uri="{28A0092B-C50C-407E-A947-70E740481C1C}">
                          <a14:useLocalDpi xmlns:a14="http://schemas.microsoft.com/office/drawing/2010/main" val="0"/>
                        </a:ext>
                      </a:extLst>
                    </a:blip>
                    <a:stretch>
                      <a:fillRect/>
                    </a:stretch>
                  </pic:blipFill>
                  <pic:spPr>
                    <a:xfrm>
                      <a:off x="0" y="0"/>
                      <a:ext cx="5753100" cy="3152775"/>
                    </a:xfrm>
                    <a:prstGeom prst="rect">
                      <a:avLst/>
                    </a:prstGeom>
                  </pic:spPr>
                </pic:pic>
              </a:graphicData>
            </a:graphic>
          </wp:inline>
        </w:drawing>
      </w:r>
    </w:p>
    <w:p w14:paraId="51C21FC8" w14:textId="77777777" w:rsidR="00103ED4" w:rsidRPr="00103ED4" w:rsidRDefault="00103ED4" w:rsidP="00103ED4">
      <w:pPr>
        <w:keepNext/>
        <w:keepLines/>
        <w:numPr>
          <w:ilvl w:val="0"/>
          <w:numId w:val="5"/>
        </w:numPr>
        <w:spacing w:before="160" w:after="80"/>
        <w:jc w:val="both"/>
        <w:outlineLvl w:val="1"/>
        <w:rPr>
          <w:rFonts w:ascii="Optima" w:eastAsia="Optima" w:hAnsi="Optima" w:cs="Optima"/>
          <w:color w:val="0F4761" w:themeColor="accent1" w:themeShade="BF"/>
        </w:rPr>
      </w:pPr>
      <w:r w:rsidRPr="00103ED4">
        <w:rPr>
          <w:rFonts w:ascii="Optima" w:eastAsia="Optima" w:hAnsi="Optima" w:cs="Optima"/>
          <w:color w:val="0F4761" w:themeColor="accent1" w:themeShade="BF"/>
          <w:lang w:val="fr"/>
        </w:rPr>
        <w:t>Apports de SENACS pour les diagnostics et les projets sociaux de territoires</w:t>
      </w:r>
    </w:p>
    <w:p w14:paraId="1F4A2A07" w14:textId="77777777" w:rsidR="00103ED4" w:rsidRPr="00103ED4" w:rsidRDefault="00103ED4" w:rsidP="00103ED4">
      <w:pPr>
        <w:spacing w:before="180" w:after="180"/>
        <w:jc w:val="both"/>
        <w:rPr>
          <w:rFonts w:ascii="Optima" w:eastAsia="Optima" w:hAnsi="Optima" w:cs="Optima"/>
          <w:color w:val="000000" w:themeColor="text1"/>
        </w:rPr>
      </w:pPr>
      <w:r w:rsidRPr="00103ED4">
        <w:rPr>
          <w:rFonts w:ascii="Optima" w:eastAsia="Optima" w:hAnsi="Optima" w:cs="Optima"/>
          <w:color w:val="000000" w:themeColor="text1"/>
          <w:lang w:val="fr"/>
        </w:rPr>
        <w:t xml:space="preserve">Au-delà de la production d’outils, l’exploitation des données de SENACS s’intègre aux pratiques courantes de pilotage du réseau AVS, tant pour les </w:t>
      </w:r>
      <w:r w:rsidRPr="00103ED4">
        <w:rPr>
          <w:rFonts w:ascii="Optima" w:eastAsia="Optima" w:hAnsi="Optima" w:cs="Optima"/>
          <w:b/>
          <w:bCs/>
          <w:color w:val="000000" w:themeColor="text1"/>
          <w:lang w:val="fr"/>
        </w:rPr>
        <w:t>partenaires</w:t>
      </w:r>
      <w:r w:rsidRPr="00103ED4">
        <w:rPr>
          <w:rFonts w:ascii="Optima" w:eastAsia="Optima" w:hAnsi="Optima" w:cs="Optima"/>
          <w:color w:val="000000" w:themeColor="text1"/>
          <w:lang w:val="fr"/>
        </w:rPr>
        <w:t xml:space="preserve"> (Caf, collectivités) que pour les </w:t>
      </w:r>
      <w:r w:rsidRPr="00103ED4">
        <w:rPr>
          <w:rFonts w:ascii="Optima" w:eastAsia="Optima" w:hAnsi="Optima" w:cs="Optima"/>
          <w:b/>
          <w:bCs/>
          <w:color w:val="000000" w:themeColor="text1"/>
          <w:lang w:val="fr"/>
        </w:rPr>
        <w:t>structures elles-mêmes et leurs fédérations</w:t>
      </w:r>
      <w:r w:rsidRPr="00103ED4">
        <w:rPr>
          <w:rFonts w:ascii="Optima" w:eastAsia="Optima" w:hAnsi="Optima" w:cs="Optima"/>
          <w:color w:val="000000" w:themeColor="text1"/>
          <w:lang w:val="fr"/>
        </w:rPr>
        <w:t>. On peut identifier plusieurs usages concrets qui font de SENACS un levier d’évaluation et d’amélioration continue :</w:t>
      </w:r>
    </w:p>
    <w:p w14:paraId="7B3B175F" w14:textId="77777777" w:rsidR="00103ED4" w:rsidRPr="00103ED4" w:rsidRDefault="00103ED4" w:rsidP="00103ED4">
      <w:pPr>
        <w:numPr>
          <w:ilvl w:val="0"/>
          <w:numId w:val="4"/>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Diagnostics territoriaux et programmation de l’offre :</w:t>
      </w:r>
      <w:r w:rsidRPr="00103ED4">
        <w:rPr>
          <w:rFonts w:ascii="Optima" w:eastAsia="Optima" w:hAnsi="Optima" w:cs="Optima"/>
          <w:color w:val="000000" w:themeColor="text1"/>
          <w:lang w:val="fr"/>
        </w:rPr>
        <w:t xml:space="preserve"> les informations issues de SENACS constituent une base factuelle partagée pour réaliser des diagnostics de territoire objectifs. Dans le cadre des Conventions Territoriales Globales (CTG) notamment, les Caf s’appuient sur les indicateurs de l’observatoire pour analyser la couverture des besoins sur leur territoire, identifier d’éventuelles « zones blanches » dépourvues d’équipement social, et orienter la planification de nouvelles structures si nécessaire. Les cartographies et ratios fournis (par exemple le nombre de centres sociaux et EVS pour 10 000 habitants) facilitent le dialogue avec les collectivités locales en vue d’ajuster l’implantation des équipements et les collaborations sur chaque bassin de vie.</w:t>
      </w:r>
    </w:p>
    <w:p w14:paraId="24FC86A2" w14:textId="77777777" w:rsidR="00103ED4" w:rsidRPr="00103ED4" w:rsidRDefault="00103ED4" w:rsidP="00103ED4">
      <w:pPr>
        <w:numPr>
          <w:ilvl w:val="0"/>
          <w:numId w:val="4"/>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Élaboration et évaluation des projets sociaux des structures :</w:t>
      </w:r>
      <w:r w:rsidRPr="00103ED4">
        <w:rPr>
          <w:rFonts w:ascii="Optima" w:eastAsia="Optima" w:hAnsi="Optima" w:cs="Optima"/>
          <w:color w:val="000000" w:themeColor="text1"/>
          <w:lang w:val="fr"/>
        </w:rPr>
        <w:t xml:space="preserve"> à l’échelle locale, chaque centre social mobilise ses données SENACS lors du renouvellement de son projet. La fiche synthétique individualisée sert de support au bilan d’agrément, permettant de mesurer l’évolution de la structure sur la période écoulée et de mettre en évidence ses résultats avant de définir de nouvelles orientations. De plus en plus, les indicateurs clés de SENACS (ex. nombre d’habitants participants, volume de bénévolat, taux de mixité des publics, etc.) sont intégrés dans les dossiers de projet social pour objectiver les résultats et éclairer l’appréciation portée par les commissions d’agrément. L’observatoire fournit ainsi un référentiel commun qui alimente les démarches d’évaluation participative menées par les structures avec leurs partenaires et les habitants.</w:t>
      </w:r>
    </w:p>
    <w:p w14:paraId="06C5B6B8" w14:textId="77777777" w:rsidR="00103ED4" w:rsidRPr="00103ED4" w:rsidRDefault="00103ED4" w:rsidP="00103ED4">
      <w:pPr>
        <w:numPr>
          <w:ilvl w:val="0"/>
          <w:numId w:val="4"/>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Suivi des orientations et dialogue de gestion :</w:t>
      </w:r>
      <w:r w:rsidRPr="00103ED4">
        <w:rPr>
          <w:rFonts w:ascii="Optima" w:eastAsia="Optima" w:hAnsi="Optima" w:cs="Optima"/>
          <w:color w:val="000000" w:themeColor="text1"/>
          <w:lang w:val="fr"/>
        </w:rPr>
        <w:t xml:space="preserve"> pour les Caf, SENACS est un outil d’aide au pilotage de la politique d’animation de la vie sociale. Les tableaux de bord départementaux permettent de suivre le développement de thématiques prioritaires (par exemple le développement du numérique, le soutien à la parentalité, l’inclusion des publics fragiles, etc.) en mesurant des indicateurs associés. Lors des comités des </w:t>
      </w:r>
      <w:r w:rsidRPr="00103ED4">
        <w:rPr>
          <w:rFonts w:ascii="Optima" w:eastAsia="Optima" w:hAnsi="Optima" w:cs="Optima"/>
          <w:color w:val="000000" w:themeColor="text1"/>
          <w:lang w:val="fr"/>
        </w:rPr>
        <w:lastRenderedPageBreak/>
        <w:t>financeurs ou des réunions annuelles de dialogue de gestion, les résultats agrégés par territoire sont présentés afin de discuter des progrès réalisés, des difficultés rencontrées et des ajustements à apporter. Les données SENACS objectivent le rapport entre les moyens engagés et les actions conduites, ce qui aide les décideurs à allouer les ressources de manière équitable et efficiente entre structures. En identifiant d’éventuelles disparités territoriales (par exemple des écarts de taux de fréquentation ou de budget par habitant), l’observatoire alerte les acteurs sur les marges de progression et peut orienter des plans d’accompagnement spécifiques pour les structures ou territoires concernés.</w:t>
      </w:r>
    </w:p>
    <w:p w14:paraId="69FF575B" w14:textId="77777777" w:rsidR="00103ED4" w:rsidRPr="00103ED4" w:rsidRDefault="00103ED4" w:rsidP="00103ED4">
      <w:pPr>
        <w:numPr>
          <w:ilvl w:val="0"/>
          <w:numId w:val="4"/>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 xml:space="preserve">Mobilisation de SENACS dans le dialogue partenarial et la reconnaissance de l’utilité sociale : </w:t>
      </w:r>
      <w:r w:rsidRPr="00103ED4">
        <w:rPr>
          <w:rFonts w:ascii="Optima" w:eastAsia="Optima" w:hAnsi="Optima" w:cs="Optima"/>
          <w:color w:val="000000" w:themeColor="text1"/>
        </w:rPr>
        <w:t xml:space="preserve">Les données consolidées de </w:t>
      </w:r>
      <w:r w:rsidRPr="00103ED4">
        <w:rPr>
          <w:rFonts w:ascii="Optima" w:eastAsia="Optima" w:hAnsi="Optima" w:cs="Optima"/>
          <w:b/>
          <w:bCs/>
          <w:color w:val="000000" w:themeColor="text1"/>
        </w:rPr>
        <w:t>SENACS</w:t>
      </w:r>
      <w:r w:rsidRPr="00103ED4">
        <w:rPr>
          <w:rFonts w:ascii="Optima" w:eastAsia="Optima" w:hAnsi="Optima" w:cs="Optima"/>
          <w:color w:val="000000" w:themeColor="text1"/>
        </w:rPr>
        <w:t xml:space="preserve"> sont mobilisées dans le </w:t>
      </w:r>
      <w:r w:rsidRPr="00103ED4">
        <w:rPr>
          <w:rFonts w:ascii="Optima" w:eastAsia="Optima" w:hAnsi="Optima" w:cs="Optima"/>
          <w:b/>
          <w:bCs/>
          <w:color w:val="000000" w:themeColor="text1"/>
        </w:rPr>
        <w:t>dialogue partenarial élargi</w:t>
      </w:r>
      <w:r w:rsidRPr="00103ED4">
        <w:rPr>
          <w:rFonts w:ascii="Optima" w:eastAsia="Optima" w:hAnsi="Optima" w:cs="Optima"/>
          <w:color w:val="000000" w:themeColor="text1"/>
        </w:rPr>
        <w:t xml:space="preserve"> associant financeurs et institutions (collectivités, services de l’État, caisses de protection sociale, têtes de réseau). Elles servent à </w:t>
      </w:r>
      <w:r w:rsidRPr="00103ED4">
        <w:rPr>
          <w:rFonts w:ascii="Optima" w:eastAsia="Optima" w:hAnsi="Optima" w:cs="Optima"/>
          <w:b/>
          <w:bCs/>
          <w:color w:val="000000" w:themeColor="text1"/>
        </w:rPr>
        <w:t>objectiver</w:t>
      </w:r>
      <w:r w:rsidRPr="00103ED4">
        <w:rPr>
          <w:rFonts w:ascii="Optima" w:eastAsia="Optima" w:hAnsi="Optima" w:cs="Optima"/>
          <w:color w:val="000000" w:themeColor="text1"/>
        </w:rPr>
        <w:t xml:space="preserve"> l’action des structures AVS et à </w:t>
      </w:r>
      <w:r w:rsidRPr="00103ED4">
        <w:rPr>
          <w:rFonts w:ascii="Optima" w:eastAsia="Optima" w:hAnsi="Optima" w:cs="Optima"/>
          <w:b/>
          <w:bCs/>
          <w:color w:val="000000" w:themeColor="text1"/>
        </w:rPr>
        <w:t>étayer</w:t>
      </w:r>
      <w:r w:rsidRPr="00103ED4">
        <w:rPr>
          <w:rFonts w:ascii="Optima" w:eastAsia="Optima" w:hAnsi="Optima" w:cs="Optima"/>
          <w:color w:val="000000" w:themeColor="text1"/>
        </w:rPr>
        <w:t xml:space="preserve"> les échanges sur les priorités territoriales. Les supports utilisés incluent la </w:t>
      </w:r>
      <w:r w:rsidRPr="00103ED4">
        <w:rPr>
          <w:rFonts w:ascii="Optima" w:eastAsia="Optima" w:hAnsi="Optima" w:cs="Optima"/>
          <w:b/>
          <w:bCs/>
          <w:color w:val="000000" w:themeColor="text1"/>
        </w:rPr>
        <w:t>plaquette nationale annuelle</w:t>
      </w:r>
      <w:r w:rsidRPr="00103ED4">
        <w:rPr>
          <w:rFonts w:ascii="Optima" w:eastAsia="Optima" w:hAnsi="Optima" w:cs="Optima"/>
          <w:color w:val="000000" w:themeColor="text1"/>
        </w:rPr>
        <w:t xml:space="preserve">, des </w:t>
      </w:r>
      <w:r w:rsidRPr="00103ED4">
        <w:rPr>
          <w:rFonts w:ascii="Optima" w:eastAsia="Optima" w:hAnsi="Optima" w:cs="Optima"/>
          <w:b/>
          <w:bCs/>
          <w:color w:val="000000" w:themeColor="text1"/>
        </w:rPr>
        <w:t>notes thématiques</w:t>
      </w:r>
      <w:r w:rsidRPr="00103ED4">
        <w:rPr>
          <w:rFonts w:ascii="Optima" w:eastAsia="Optima" w:hAnsi="Optima" w:cs="Optima"/>
          <w:color w:val="000000" w:themeColor="text1"/>
        </w:rPr>
        <w:t xml:space="preserve"> et des </w:t>
      </w:r>
      <w:r w:rsidRPr="00103ED4">
        <w:rPr>
          <w:rFonts w:ascii="Optima" w:eastAsia="Optima" w:hAnsi="Optima" w:cs="Optima"/>
          <w:b/>
          <w:bCs/>
          <w:color w:val="000000" w:themeColor="text1"/>
        </w:rPr>
        <w:t>extractions territoriales</w:t>
      </w:r>
      <w:r w:rsidRPr="00103ED4">
        <w:rPr>
          <w:rFonts w:ascii="Optima" w:eastAsia="Optima" w:hAnsi="Optima" w:cs="Optima"/>
          <w:color w:val="000000" w:themeColor="text1"/>
        </w:rPr>
        <w:t xml:space="preserve"> (tableaux de bord, cartographies, séries).</w:t>
      </w:r>
    </w:p>
    <w:p w14:paraId="03C725D7" w14:textId="77777777" w:rsidR="00103ED4" w:rsidRPr="00103ED4" w:rsidRDefault="00103ED4" w:rsidP="00103ED4">
      <w:pPr>
        <w:ind w:left="720"/>
        <w:jc w:val="both"/>
        <w:rPr>
          <w:rFonts w:ascii="Optima" w:eastAsia="Optima" w:hAnsi="Optima" w:cs="Optima"/>
          <w:color w:val="000000" w:themeColor="text1"/>
        </w:rPr>
      </w:pPr>
      <w:r w:rsidRPr="00103ED4">
        <w:br/>
      </w:r>
      <w:r w:rsidRPr="00103ED4">
        <w:rPr>
          <w:rFonts w:ascii="Optima" w:eastAsia="Optima" w:hAnsi="Optima" w:cs="Optima"/>
          <w:b/>
          <w:bCs/>
          <w:color w:val="000000" w:themeColor="text1"/>
        </w:rPr>
        <w:t>Exemples d’usages concrets :</w:t>
      </w:r>
    </w:p>
    <w:p w14:paraId="0A034C2D" w14:textId="77777777" w:rsidR="00103ED4" w:rsidRPr="00103ED4" w:rsidRDefault="00103ED4" w:rsidP="00103ED4">
      <w:pPr>
        <w:numPr>
          <w:ilvl w:val="0"/>
          <w:numId w:val="3"/>
        </w:numPr>
        <w:tabs>
          <w:tab w:val="num" w:pos="720"/>
        </w:tabs>
        <w:contextualSpacing/>
        <w:jc w:val="both"/>
        <w:rPr>
          <w:rFonts w:ascii="Optima" w:eastAsia="Optima" w:hAnsi="Optima" w:cs="Optima"/>
          <w:color w:val="000000" w:themeColor="text1"/>
        </w:rPr>
      </w:pPr>
      <w:r w:rsidRPr="00103ED4">
        <w:rPr>
          <w:rFonts w:ascii="Optima" w:eastAsia="Optima" w:hAnsi="Optima" w:cs="Optima"/>
          <w:b/>
          <w:bCs/>
          <w:color w:val="000000" w:themeColor="text1"/>
        </w:rPr>
        <w:t>Comités des financeurs / négociations de cofinancements</w:t>
      </w:r>
      <w:r w:rsidRPr="00103ED4">
        <w:rPr>
          <w:rFonts w:ascii="Optima" w:eastAsia="Optima" w:hAnsi="Optima" w:cs="Optima"/>
          <w:color w:val="000000" w:themeColor="text1"/>
        </w:rPr>
        <w:t xml:space="preserve"> : présentation d’indicateurs de couverture (nombre de centres sociaux/EVS pour 10 000 habitants, zones non couvertes), volumes de participation et partenariats, pour justifier une </w:t>
      </w:r>
      <w:r w:rsidRPr="00103ED4">
        <w:rPr>
          <w:rFonts w:ascii="Optima" w:eastAsia="Optima" w:hAnsi="Optima" w:cs="Optima"/>
          <w:b/>
          <w:bCs/>
          <w:color w:val="000000" w:themeColor="text1"/>
        </w:rPr>
        <w:t>création/extension</w:t>
      </w:r>
      <w:r w:rsidRPr="00103ED4">
        <w:rPr>
          <w:rFonts w:ascii="Optima" w:eastAsia="Optima" w:hAnsi="Optima" w:cs="Optima"/>
          <w:color w:val="000000" w:themeColor="text1"/>
        </w:rPr>
        <w:t xml:space="preserve"> d’équipement ou un </w:t>
      </w:r>
      <w:r w:rsidRPr="00103ED4">
        <w:rPr>
          <w:rFonts w:ascii="Optima" w:eastAsia="Optima" w:hAnsi="Optima" w:cs="Optima"/>
          <w:b/>
          <w:bCs/>
          <w:color w:val="000000" w:themeColor="text1"/>
        </w:rPr>
        <w:t>renfort de moyens</w:t>
      </w:r>
      <w:r w:rsidRPr="00103ED4">
        <w:rPr>
          <w:rFonts w:ascii="Optima" w:eastAsia="Optima" w:hAnsi="Optima" w:cs="Optima"/>
          <w:color w:val="000000" w:themeColor="text1"/>
        </w:rPr>
        <w:t>.</w:t>
      </w:r>
    </w:p>
    <w:p w14:paraId="3B8E0E20" w14:textId="77777777" w:rsidR="00103ED4" w:rsidRPr="00103ED4" w:rsidRDefault="00103ED4" w:rsidP="00103ED4">
      <w:pPr>
        <w:numPr>
          <w:ilvl w:val="0"/>
          <w:numId w:val="3"/>
        </w:numPr>
        <w:tabs>
          <w:tab w:val="num" w:pos="720"/>
        </w:tabs>
        <w:contextualSpacing/>
        <w:jc w:val="both"/>
        <w:rPr>
          <w:rFonts w:ascii="Optima" w:eastAsia="Optima" w:hAnsi="Optima" w:cs="Optima"/>
          <w:color w:val="000000" w:themeColor="text1"/>
        </w:rPr>
      </w:pPr>
      <w:r w:rsidRPr="00103ED4">
        <w:rPr>
          <w:rFonts w:ascii="Optima" w:eastAsia="Optima" w:hAnsi="Optima" w:cs="Optima"/>
          <w:b/>
          <w:bCs/>
          <w:color w:val="000000" w:themeColor="text1"/>
        </w:rPr>
        <w:t>Rapports d’activité et bilans territoriaux</w:t>
      </w:r>
      <w:r w:rsidRPr="00103ED4">
        <w:rPr>
          <w:rFonts w:ascii="Optima" w:eastAsia="Optima" w:hAnsi="Optima" w:cs="Optima"/>
          <w:color w:val="000000" w:themeColor="text1"/>
        </w:rPr>
        <w:t xml:space="preserve"> : insertion de </w:t>
      </w:r>
      <w:r w:rsidRPr="00103ED4">
        <w:rPr>
          <w:rFonts w:ascii="Optima" w:eastAsia="Optima" w:hAnsi="Optima" w:cs="Optima"/>
          <w:b/>
          <w:bCs/>
          <w:color w:val="000000" w:themeColor="text1"/>
        </w:rPr>
        <w:t>cartes et séries</w:t>
      </w:r>
      <w:r w:rsidRPr="00103ED4">
        <w:rPr>
          <w:rFonts w:ascii="Optima" w:eastAsia="Optima" w:hAnsi="Optima" w:cs="Optima"/>
          <w:color w:val="000000" w:themeColor="text1"/>
        </w:rPr>
        <w:t xml:space="preserve"> SENACS pour documenter l’</w:t>
      </w:r>
      <w:r w:rsidRPr="00103ED4">
        <w:rPr>
          <w:rFonts w:ascii="Optima" w:eastAsia="Optima" w:hAnsi="Optima" w:cs="Optima"/>
          <w:b/>
          <w:bCs/>
          <w:color w:val="000000" w:themeColor="text1"/>
        </w:rPr>
        <w:t>utilité sociale</w:t>
      </w:r>
      <w:r w:rsidRPr="00103ED4">
        <w:rPr>
          <w:rFonts w:ascii="Optima" w:eastAsia="Optima" w:hAnsi="Optima" w:cs="Optima"/>
          <w:color w:val="000000" w:themeColor="text1"/>
        </w:rPr>
        <w:t xml:space="preserve"> (fréquentation, bénévolat, thématiques d’action), à l’appui de la </w:t>
      </w:r>
      <w:r w:rsidRPr="00103ED4">
        <w:rPr>
          <w:rFonts w:ascii="Optima" w:eastAsia="Optima" w:hAnsi="Optima" w:cs="Optima"/>
          <w:b/>
          <w:bCs/>
          <w:color w:val="000000" w:themeColor="text1"/>
        </w:rPr>
        <w:t>reconduction des subventions</w:t>
      </w:r>
      <w:r w:rsidRPr="00103ED4">
        <w:rPr>
          <w:rFonts w:ascii="Optima" w:eastAsia="Optima" w:hAnsi="Optima" w:cs="Optima"/>
          <w:color w:val="000000" w:themeColor="text1"/>
        </w:rPr>
        <w:t>.</w:t>
      </w:r>
    </w:p>
    <w:p w14:paraId="53C0A8CE" w14:textId="77777777" w:rsidR="00103ED4" w:rsidRPr="00103ED4" w:rsidRDefault="00103ED4" w:rsidP="00103ED4">
      <w:pPr>
        <w:numPr>
          <w:ilvl w:val="0"/>
          <w:numId w:val="3"/>
        </w:numPr>
        <w:tabs>
          <w:tab w:val="num" w:pos="720"/>
        </w:tabs>
        <w:contextualSpacing/>
        <w:jc w:val="both"/>
        <w:rPr>
          <w:rFonts w:ascii="Optima" w:eastAsia="Optima" w:hAnsi="Optima" w:cs="Optima"/>
          <w:color w:val="000000" w:themeColor="text1"/>
        </w:rPr>
      </w:pPr>
      <w:r w:rsidRPr="00103ED4">
        <w:rPr>
          <w:rFonts w:ascii="Optima" w:eastAsia="Optima" w:hAnsi="Optima" w:cs="Optima"/>
          <w:b/>
          <w:bCs/>
          <w:color w:val="000000" w:themeColor="text1"/>
        </w:rPr>
        <w:t>Instances de politique publique locale (CTG, politique de la ville, schémas départementaux)</w:t>
      </w:r>
      <w:r w:rsidRPr="00103ED4">
        <w:rPr>
          <w:rFonts w:ascii="Optima" w:eastAsia="Optima" w:hAnsi="Optima" w:cs="Optima"/>
          <w:color w:val="000000" w:themeColor="text1"/>
        </w:rPr>
        <w:t xml:space="preserve"> : repères objectifs pour </w:t>
      </w:r>
      <w:r w:rsidRPr="00103ED4">
        <w:rPr>
          <w:rFonts w:ascii="Optima" w:eastAsia="Optima" w:hAnsi="Optima" w:cs="Optima"/>
          <w:b/>
          <w:bCs/>
          <w:color w:val="000000" w:themeColor="text1"/>
        </w:rPr>
        <w:t>prioriser</w:t>
      </w:r>
      <w:r w:rsidRPr="00103ED4">
        <w:rPr>
          <w:rFonts w:ascii="Optima" w:eastAsia="Optima" w:hAnsi="Optima" w:cs="Optima"/>
          <w:color w:val="000000" w:themeColor="text1"/>
        </w:rPr>
        <w:t xml:space="preserve"> des quartiers/communes, </w:t>
      </w:r>
      <w:r w:rsidRPr="00103ED4">
        <w:rPr>
          <w:rFonts w:ascii="Optima" w:eastAsia="Optima" w:hAnsi="Optima" w:cs="Optima"/>
          <w:b/>
          <w:bCs/>
          <w:color w:val="000000" w:themeColor="text1"/>
        </w:rPr>
        <w:t>cibler</w:t>
      </w:r>
      <w:r w:rsidRPr="00103ED4">
        <w:rPr>
          <w:rFonts w:ascii="Optima" w:eastAsia="Optima" w:hAnsi="Optima" w:cs="Optima"/>
          <w:color w:val="000000" w:themeColor="text1"/>
        </w:rPr>
        <w:t xml:space="preserve"> des publics (jeunes, familles, seniors), et </w:t>
      </w:r>
      <w:r w:rsidRPr="00103ED4">
        <w:rPr>
          <w:rFonts w:ascii="Optima" w:eastAsia="Optima" w:hAnsi="Optima" w:cs="Optima"/>
          <w:b/>
          <w:bCs/>
          <w:color w:val="000000" w:themeColor="text1"/>
        </w:rPr>
        <w:t>suivre</w:t>
      </w:r>
      <w:r w:rsidRPr="00103ED4">
        <w:rPr>
          <w:rFonts w:ascii="Optima" w:eastAsia="Optima" w:hAnsi="Optima" w:cs="Optima"/>
          <w:color w:val="000000" w:themeColor="text1"/>
        </w:rPr>
        <w:t xml:space="preserve"> l’avancement des axes transversaux (parentalité, inclusion numérique, aller-vers).</w:t>
      </w:r>
    </w:p>
    <w:p w14:paraId="2118D61B" w14:textId="77777777" w:rsidR="00103ED4" w:rsidRPr="00103ED4" w:rsidRDefault="00103ED4" w:rsidP="00103ED4">
      <w:pPr>
        <w:numPr>
          <w:ilvl w:val="0"/>
          <w:numId w:val="3"/>
        </w:numPr>
        <w:tabs>
          <w:tab w:val="num" w:pos="720"/>
        </w:tabs>
        <w:contextualSpacing/>
        <w:jc w:val="both"/>
        <w:rPr>
          <w:rFonts w:ascii="Optima" w:eastAsia="Optima" w:hAnsi="Optima" w:cs="Optima"/>
          <w:color w:val="000000" w:themeColor="text1"/>
        </w:rPr>
      </w:pPr>
      <w:r w:rsidRPr="00103ED4">
        <w:rPr>
          <w:rFonts w:ascii="Optima" w:eastAsia="Optima" w:hAnsi="Optima" w:cs="Optima"/>
          <w:b/>
          <w:bCs/>
          <w:color w:val="000000" w:themeColor="text1"/>
        </w:rPr>
        <w:t>Demandes institutionnelles d’éclairage</w:t>
      </w:r>
      <w:r w:rsidRPr="00103ED4">
        <w:rPr>
          <w:rFonts w:ascii="Optima" w:eastAsia="Optima" w:hAnsi="Optima" w:cs="Optima"/>
          <w:color w:val="000000" w:themeColor="text1"/>
        </w:rPr>
        <w:t xml:space="preserve"> (notes rapides, auditions) : éléments chiffrés consolidés pour </w:t>
      </w:r>
      <w:r w:rsidRPr="00103ED4">
        <w:rPr>
          <w:rFonts w:ascii="Optima" w:eastAsia="Optima" w:hAnsi="Optima" w:cs="Optima"/>
          <w:b/>
          <w:bCs/>
          <w:color w:val="000000" w:themeColor="text1"/>
        </w:rPr>
        <w:t>documenter</w:t>
      </w:r>
      <w:r w:rsidRPr="00103ED4">
        <w:rPr>
          <w:rFonts w:ascii="Optima" w:eastAsia="Optima" w:hAnsi="Optima" w:cs="Optima"/>
          <w:color w:val="000000" w:themeColor="text1"/>
        </w:rPr>
        <w:t xml:space="preserve"> l’implantation, l’activité et les effets attendus des structures AVS sur un territoire donné.</w:t>
      </w:r>
    </w:p>
    <w:p w14:paraId="50DA9988" w14:textId="77777777" w:rsidR="00103ED4" w:rsidRPr="00103ED4" w:rsidRDefault="00103ED4" w:rsidP="00103ED4">
      <w:pPr>
        <w:jc w:val="both"/>
        <w:rPr>
          <w:rFonts w:ascii="Optima" w:eastAsia="Optima" w:hAnsi="Optima" w:cs="Optima"/>
          <w:color w:val="000000" w:themeColor="text1"/>
        </w:rPr>
      </w:pPr>
    </w:p>
    <w:p w14:paraId="6D40DA6F" w14:textId="77777777" w:rsidR="00103ED4" w:rsidRPr="00103ED4" w:rsidRDefault="00103ED4" w:rsidP="00103ED4">
      <w:pPr>
        <w:keepNext/>
        <w:keepLines/>
        <w:numPr>
          <w:ilvl w:val="0"/>
          <w:numId w:val="2"/>
        </w:numPr>
        <w:spacing w:before="160" w:after="80"/>
        <w:jc w:val="both"/>
        <w:outlineLvl w:val="1"/>
        <w:rPr>
          <w:rFonts w:ascii="Optima" w:eastAsia="Optima" w:hAnsi="Optima" w:cs="Optima"/>
          <w:color w:val="0F4761" w:themeColor="accent1" w:themeShade="BF"/>
        </w:rPr>
      </w:pPr>
      <w:r w:rsidRPr="00103ED4">
        <w:rPr>
          <w:rFonts w:ascii="Optima" w:eastAsia="Optima" w:hAnsi="Optima" w:cs="Optima"/>
          <w:color w:val="0F4761" w:themeColor="accent1" w:themeShade="BF"/>
          <w:lang w:val="fr"/>
        </w:rPr>
        <w:t>Perspectives de développement du dispositif SENACS</w:t>
      </w:r>
    </w:p>
    <w:p w14:paraId="6C08C0F8" w14:textId="77777777" w:rsidR="00103ED4" w:rsidRPr="00103ED4" w:rsidRDefault="00103ED4" w:rsidP="00103ED4">
      <w:pPr>
        <w:spacing w:before="180" w:after="180"/>
        <w:jc w:val="both"/>
        <w:rPr>
          <w:rFonts w:ascii="Optima" w:eastAsia="Optima" w:hAnsi="Optima" w:cs="Optima"/>
          <w:color w:val="000000" w:themeColor="text1"/>
        </w:rPr>
      </w:pPr>
      <w:r w:rsidRPr="00103ED4">
        <w:rPr>
          <w:rFonts w:ascii="Optima" w:eastAsia="Optima" w:hAnsi="Optima" w:cs="Optima"/>
          <w:color w:val="000000" w:themeColor="text1"/>
          <w:lang w:val="fr"/>
        </w:rPr>
        <w:t>Dans le contexte de la nouvelle circulaire Animation de la vie sociale (2025), l’observatoire SENACS est appelé à évoluer pour répondre aux enjeux émergents et aux nouvelles exigences fixées pour le réseau AVS. Plusieurs perspectives de développement se dessinent, afin d’enrichir l’outil et de renforcer encore son apport stratégique :</w:t>
      </w:r>
    </w:p>
    <w:p w14:paraId="26DFD29F" w14:textId="77777777" w:rsidR="00103ED4" w:rsidRPr="00103ED4" w:rsidRDefault="00103ED4" w:rsidP="00103ED4">
      <w:pPr>
        <w:numPr>
          <w:ilvl w:val="0"/>
          <w:numId w:val="1"/>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Suivi longitudinal des trajectoires des structures :</w:t>
      </w:r>
      <w:r w:rsidRPr="00103ED4">
        <w:rPr>
          <w:rFonts w:ascii="Optima" w:eastAsia="Optima" w:hAnsi="Optima" w:cs="Optima"/>
          <w:color w:val="000000" w:themeColor="text1"/>
          <w:lang w:val="fr"/>
        </w:rPr>
        <w:t xml:space="preserve"> la capitalisation pluriannuelle des données ouvre la voie à une analyse dans la durée des parcours des centres sociaux et EVS. Il devient possible de visualiser l’évolution de chaque structure « en contexte » tout au long de son cycle d’agrément, en comparant son profil à l’échelle du territoire et du réseau.</w:t>
      </w:r>
    </w:p>
    <w:p w14:paraId="739FE038" w14:textId="77777777" w:rsidR="00103ED4" w:rsidRPr="00103ED4" w:rsidRDefault="00103ED4" w:rsidP="00103ED4">
      <w:pPr>
        <w:numPr>
          <w:ilvl w:val="0"/>
          <w:numId w:val="1"/>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Nouveaux indicateurs alignés sur les priorités nationales :</w:t>
      </w:r>
      <w:r w:rsidRPr="00103ED4">
        <w:rPr>
          <w:rFonts w:ascii="Optima" w:eastAsia="Optima" w:hAnsi="Optima" w:cs="Optima"/>
          <w:color w:val="000000" w:themeColor="text1"/>
          <w:lang w:val="fr"/>
        </w:rPr>
        <w:t xml:space="preserve"> l’entrée en vigueur de la circulaire révisée s’accompagne de nouvelles orientations (axes d’intervention prioritaires, maillage territorial, etc.). Le référentiel de l’enquête SENACS fera donc l’objet d’ajustements afin d’intégrer des indicateurs reflétant ces priorités. Par exemple, la </w:t>
      </w:r>
      <w:r w:rsidRPr="00103ED4">
        <w:rPr>
          <w:rFonts w:ascii="Optima" w:eastAsia="Optima" w:hAnsi="Optima" w:cs="Optima"/>
          <w:color w:val="000000" w:themeColor="text1"/>
          <w:lang w:val="fr"/>
        </w:rPr>
        <w:lastRenderedPageBreak/>
        <w:t>circulaire met l’accent sur le renforcement du lien intergénérationnel ou sur la transition écologique, des questions spécifiques pourront être ajoutées au questionnaire pour en mesurer la mise en œuvre. La prochaine mise à jour de l’outil veillera ainsi à couvrir ces nouveaux enjeux, tout en préservant la comparabilité historique des données (un équilibre recherché en concertation avec les acteurs du réseau).</w:t>
      </w:r>
    </w:p>
    <w:p w14:paraId="5769C8F7" w14:textId="77777777" w:rsidR="00103ED4" w:rsidRPr="00103ED4" w:rsidRDefault="00103ED4" w:rsidP="00103ED4">
      <w:pPr>
        <w:numPr>
          <w:ilvl w:val="0"/>
          <w:numId w:val="1"/>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Renforcement de l’articulation avec l’évaluation participative :</w:t>
      </w:r>
      <w:r w:rsidRPr="00103ED4">
        <w:rPr>
          <w:rFonts w:ascii="Optima" w:eastAsia="Optima" w:hAnsi="Optima" w:cs="Optima"/>
          <w:color w:val="000000" w:themeColor="text1"/>
          <w:lang w:val="fr"/>
        </w:rPr>
        <w:t xml:space="preserve"> le déploiement d’une culture d’évaluation au sein du réseau AVS – promu par la circulaire – trouvera un appui accru dans l’outil SENACS. Les données objectivées de l’observatoire constitueront un socle commun pour alimenter les démarches d’évaluation des projets sociaux, qu’elles soient menées à l’échelle d’une structure, d’un territoire ou au niveau national. En retour, les enseignements qualitatifs issus des évaluations de terrain guideront l’amélioration continue du questionnaire et des indicateurs de SENACS. L’enjeu est de mieux connecter l’observation statistique et l’évaluation de l’impact : en croisant données chiffrées et retours qualitatifs, il s’agira de démontrer concrètement la contribution des centres sociaux aux changements observés chez les habitants et sur les territoires.</w:t>
      </w:r>
    </w:p>
    <w:p w14:paraId="104F990E" w14:textId="77777777" w:rsidR="00103ED4" w:rsidRPr="00103ED4" w:rsidRDefault="00103ED4" w:rsidP="00103ED4">
      <w:pPr>
        <w:numPr>
          <w:ilvl w:val="0"/>
          <w:numId w:val="1"/>
        </w:numPr>
        <w:contextualSpacing/>
        <w:jc w:val="both"/>
        <w:rPr>
          <w:rFonts w:ascii="Optima" w:eastAsia="Optima" w:hAnsi="Optima" w:cs="Optima"/>
          <w:color w:val="000000" w:themeColor="text1"/>
          <w:lang w:val="fr"/>
        </w:rPr>
      </w:pPr>
      <w:r w:rsidRPr="00103ED4">
        <w:rPr>
          <w:rFonts w:ascii="Optima" w:eastAsia="Optima" w:hAnsi="Optima" w:cs="Optima"/>
          <w:b/>
          <w:bCs/>
          <w:color w:val="000000" w:themeColor="text1"/>
          <w:lang w:val="fr"/>
        </w:rPr>
        <w:t>Partage des savoirs et bonnes pratiques au sein du réseau :</w:t>
      </w:r>
      <w:r w:rsidRPr="00103ED4">
        <w:rPr>
          <w:rFonts w:ascii="Optima" w:eastAsia="Optima" w:hAnsi="Optima" w:cs="Optima"/>
          <w:color w:val="000000" w:themeColor="text1"/>
          <w:lang w:val="fr"/>
        </w:rPr>
        <w:t xml:space="preserve"> la richesse de la base de données nationale SENACS peut être davantage mise à profit comme levier d’accompagnement du réseau. L’exploitation comparative des indicateurs entre territoires permet d’identifier des marges de progression et de repérer des expériences réussies pouvant inspirer d’autres acteurs. L'enjeu est de renforcer les outils de capitalisation et de diffusion des bonnes pratiques issus de SENACS : par exemple, développer des modules d’analyse en ligne ou des rapports thématiques mettant en lumière des initiatives d’habitants inspirantes ou des modes d’organisation particulièrement efficaces.</w:t>
      </w:r>
    </w:p>
    <w:p w14:paraId="58AF6216" w14:textId="77777777" w:rsidR="00103ED4" w:rsidRPr="00103ED4" w:rsidRDefault="00103ED4" w:rsidP="00103ED4">
      <w:pPr>
        <w:numPr>
          <w:ilvl w:val="0"/>
          <w:numId w:val="1"/>
        </w:numPr>
        <w:contextualSpacing/>
        <w:jc w:val="both"/>
        <w:rPr>
          <w:rFonts w:ascii="Optima" w:eastAsia="Optima" w:hAnsi="Optima" w:cs="Optima"/>
          <w:color w:val="000000" w:themeColor="text1"/>
        </w:rPr>
      </w:pPr>
      <w:r w:rsidRPr="00103ED4">
        <w:rPr>
          <w:rFonts w:ascii="Optima" w:eastAsia="Optima" w:hAnsi="Optima" w:cs="Optima"/>
          <w:b/>
          <w:bCs/>
          <w:color w:val="000000" w:themeColor="text1"/>
          <w:lang w:val="fr"/>
        </w:rPr>
        <w:t>Valorisation renforcée de l’utilité sociale :</w:t>
      </w:r>
      <w:r w:rsidRPr="00103ED4">
        <w:rPr>
          <w:rFonts w:ascii="Optima" w:eastAsia="Optima" w:hAnsi="Optima" w:cs="Optima"/>
          <w:color w:val="000000" w:themeColor="text1"/>
          <w:lang w:val="fr"/>
        </w:rPr>
        <w:t xml:space="preserve"> enfin, une orientation centrale demeure la poursuite de la valorisation de l’impact social des centres sociaux et EVS. Il s'agit là de fournir aux acteurs des arguments renforcés pour démontrer la contribution essentielle de l’animation de la vie sociale au lien social et au développement local. En croisant les données quantitatives avec les éléments qualitatifs du terrain, SENACS offrira à chaque partie prenante – habitants, bénévoles, professionnels, élus – une lecture partagée de l’utilité sociale des structures AVS. Il confortera ainsi la place de cette politique dans le développement social de l’ensemble des territoires, conformément aux ambitions de la nouvelle circulaire.</w:t>
      </w:r>
    </w:p>
    <w:p w14:paraId="5B52C214" w14:textId="77777777" w:rsidR="00103ED4" w:rsidRPr="00103ED4" w:rsidRDefault="00103ED4" w:rsidP="00103ED4">
      <w:pPr>
        <w:spacing w:line="254" w:lineRule="auto"/>
        <w:jc w:val="both"/>
        <w:rPr>
          <w:rFonts w:ascii="Optima" w:eastAsia="Optima" w:hAnsi="Optima" w:cs="Optima"/>
          <w:color w:val="000000" w:themeColor="text1"/>
        </w:rPr>
      </w:pPr>
    </w:p>
    <w:p w14:paraId="7DEA270E" w14:textId="77777777" w:rsidR="001352A2" w:rsidRDefault="001352A2"/>
    <w:sectPr w:rsidR="001352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tima">
    <w:altName w:val="Optima"/>
    <w:panose1 w:val="020B05020505080203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45CF"/>
    <w:multiLevelType w:val="hybridMultilevel"/>
    <w:tmpl w:val="AC222F86"/>
    <w:lvl w:ilvl="0" w:tplc="92DC956A">
      <w:start w:val="1"/>
      <w:numFmt w:val="bullet"/>
      <w:lvlText w:val=""/>
      <w:lvlJc w:val="left"/>
      <w:pPr>
        <w:ind w:left="720" w:hanging="360"/>
      </w:pPr>
      <w:rPr>
        <w:rFonts w:ascii="Wingdings" w:hAnsi="Wingdings" w:hint="default"/>
      </w:rPr>
    </w:lvl>
    <w:lvl w:ilvl="1" w:tplc="713685FC">
      <w:start w:val="1"/>
      <w:numFmt w:val="bullet"/>
      <w:lvlText w:val="o"/>
      <w:lvlJc w:val="left"/>
      <w:pPr>
        <w:ind w:left="1440" w:hanging="360"/>
      </w:pPr>
      <w:rPr>
        <w:rFonts w:ascii="Courier New" w:hAnsi="Courier New" w:hint="default"/>
      </w:rPr>
    </w:lvl>
    <w:lvl w:ilvl="2" w:tplc="9F7CBF6C">
      <w:start w:val="1"/>
      <w:numFmt w:val="bullet"/>
      <w:lvlText w:val=""/>
      <w:lvlJc w:val="left"/>
      <w:pPr>
        <w:ind w:left="2160" w:hanging="360"/>
      </w:pPr>
      <w:rPr>
        <w:rFonts w:ascii="Wingdings" w:hAnsi="Wingdings" w:hint="default"/>
      </w:rPr>
    </w:lvl>
    <w:lvl w:ilvl="3" w:tplc="189A11C2">
      <w:start w:val="1"/>
      <w:numFmt w:val="bullet"/>
      <w:lvlText w:val=""/>
      <w:lvlJc w:val="left"/>
      <w:pPr>
        <w:ind w:left="2880" w:hanging="360"/>
      </w:pPr>
      <w:rPr>
        <w:rFonts w:ascii="Symbol" w:hAnsi="Symbol" w:hint="default"/>
      </w:rPr>
    </w:lvl>
    <w:lvl w:ilvl="4" w:tplc="8968EC2E">
      <w:start w:val="1"/>
      <w:numFmt w:val="bullet"/>
      <w:lvlText w:val="o"/>
      <w:lvlJc w:val="left"/>
      <w:pPr>
        <w:ind w:left="3600" w:hanging="360"/>
      </w:pPr>
      <w:rPr>
        <w:rFonts w:ascii="Courier New" w:hAnsi="Courier New" w:hint="default"/>
      </w:rPr>
    </w:lvl>
    <w:lvl w:ilvl="5" w:tplc="522A79E6">
      <w:start w:val="1"/>
      <w:numFmt w:val="bullet"/>
      <w:lvlText w:val=""/>
      <w:lvlJc w:val="left"/>
      <w:pPr>
        <w:ind w:left="4320" w:hanging="360"/>
      </w:pPr>
      <w:rPr>
        <w:rFonts w:ascii="Wingdings" w:hAnsi="Wingdings" w:hint="default"/>
      </w:rPr>
    </w:lvl>
    <w:lvl w:ilvl="6" w:tplc="FEC68AB8">
      <w:start w:val="1"/>
      <w:numFmt w:val="bullet"/>
      <w:lvlText w:val=""/>
      <w:lvlJc w:val="left"/>
      <w:pPr>
        <w:ind w:left="5040" w:hanging="360"/>
      </w:pPr>
      <w:rPr>
        <w:rFonts w:ascii="Symbol" w:hAnsi="Symbol" w:hint="default"/>
      </w:rPr>
    </w:lvl>
    <w:lvl w:ilvl="7" w:tplc="4F3640C2">
      <w:start w:val="1"/>
      <w:numFmt w:val="bullet"/>
      <w:lvlText w:val="o"/>
      <w:lvlJc w:val="left"/>
      <w:pPr>
        <w:ind w:left="5760" w:hanging="360"/>
      </w:pPr>
      <w:rPr>
        <w:rFonts w:ascii="Courier New" w:hAnsi="Courier New" w:hint="default"/>
      </w:rPr>
    </w:lvl>
    <w:lvl w:ilvl="8" w:tplc="AECEA2B8">
      <w:start w:val="1"/>
      <w:numFmt w:val="bullet"/>
      <w:lvlText w:val=""/>
      <w:lvlJc w:val="left"/>
      <w:pPr>
        <w:ind w:left="6480" w:hanging="360"/>
      </w:pPr>
      <w:rPr>
        <w:rFonts w:ascii="Wingdings" w:hAnsi="Wingdings" w:hint="default"/>
      </w:rPr>
    </w:lvl>
  </w:abstractNum>
  <w:abstractNum w:abstractNumId="1" w15:restartNumberingAfterBreak="0">
    <w:nsid w:val="5ACFDF34"/>
    <w:multiLevelType w:val="multilevel"/>
    <w:tmpl w:val="4B86C8B8"/>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2B9CFA2"/>
    <w:multiLevelType w:val="multilevel"/>
    <w:tmpl w:val="093EE5EE"/>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80BBEA"/>
    <w:multiLevelType w:val="hybridMultilevel"/>
    <w:tmpl w:val="479CB7DC"/>
    <w:lvl w:ilvl="0" w:tplc="192E5AF2">
      <w:start w:val="1"/>
      <w:numFmt w:val="bullet"/>
      <w:lvlText w:val=""/>
      <w:lvlJc w:val="left"/>
      <w:pPr>
        <w:ind w:left="720" w:hanging="360"/>
      </w:pPr>
      <w:rPr>
        <w:rFonts w:ascii="Wingdings" w:hAnsi="Wingdings" w:hint="default"/>
      </w:rPr>
    </w:lvl>
    <w:lvl w:ilvl="1" w:tplc="829AF2E2">
      <w:start w:val="1"/>
      <w:numFmt w:val="bullet"/>
      <w:lvlText w:val="o"/>
      <w:lvlJc w:val="left"/>
      <w:pPr>
        <w:ind w:left="1440" w:hanging="360"/>
      </w:pPr>
      <w:rPr>
        <w:rFonts w:ascii="Courier New" w:hAnsi="Courier New" w:hint="default"/>
      </w:rPr>
    </w:lvl>
    <w:lvl w:ilvl="2" w:tplc="74380C1E">
      <w:start w:val="1"/>
      <w:numFmt w:val="bullet"/>
      <w:lvlText w:val=""/>
      <w:lvlJc w:val="left"/>
      <w:pPr>
        <w:ind w:left="2160" w:hanging="360"/>
      </w:pPr>
      <w:rPr>
        <w:rFonts w:ascii="Wingdings" w:hAnsi="Wingdings" w:hint="default"/>
      </w:rPr>
    </w:lvl>
    <w:lvl w:ilvl="3" w:tplc="2C424844">
      <w:start w:val="1"/>
      <w:numFmt w:val="bullet"/>
      <w:lvlText w:val=""/>
      <w:lvlJc w:val="left"/>
      <w:pPr>
        <w:ind w:left="2880" w:hanging="360"/>
      </w:pPr>
      <w:rPr>
        <w:rFonts w:ascii="Symbol" w:hAnsi="Symbol" w:hint="default"/>
      </w:rPr>
    </w:lvl>
    <w:lvl w:ilvl="4" w:tplc="BDB08CD8">
      <w:start w:val="1"/>
      <w:numFmt w:val="bullet"/>
      <w:lvlText w:val="o"/>
      <w:lvlJc w:val="left"/>
      <w:pPr>
        <w:ind w:left="3600" w:hanging="360"/>
      </w:pPr>
      <w:rPr>
        <w:rFonts w:ascii="Courier New" w:hAnsi="Courier New" w:hint="default"/>
      </w:rPr>
    </w:lvl>
    <w:lvl w:ilvl="5" w:tplc="C052BD0A">
      <w:start w:val="1"/>
      <w:numFmt w:val="bullet"/>
      <w:lvlText w:val=""/>
      <w:lvlJc w:val="left"/>
      <w:pPr>
        <w:ind w:left="4320" w:hanging="360"/>
      </w:pPr>
      <w:rPr>
        <w:rFonts w:ascii="Wingdings" w:hAnsi="Wingdings" w:hint="default"/>
      </w:rPr>
    </w:lvl>
    <w:lvl w:ilvl="6" w:tplc="CEEA730E">
      <w:start w:val="1"/>
      <w:numFmt w:val="bullet"/>
      <w:lvlText w:val=""/>
      <w:lvlJc w:val="left"/>
      <w:pPr>
        <w:ind w:left="5040" w:hanging="360"/>
      </w:pPr>
      <w:rPr>
        <w:rFonts w:ascii="Symbol" w:hAnsi="Symbol" w:hint="default"/>
      </w:rPr>
    </w:lvl>
    <w:lvl w:ilvl="7" w:tplc="3B9AE6D2">
      <w:start w:val="1"/>
      <w:numFmt w:val="bullet"/>
      <w:lvlText w:val="o"/>
      <w:lvlJc w:val="left"/>
      <w:pPr>
        <w:ind w:left="5760" w:hanging="360"/>
      </w:pPr>
      <w:rPr>
        <w:rFonts w:ascii="Courier New" w:hAnsi="Courier New" w:hint="default"/>
      </w:rPr>
    </w:lvl>
    <w:lvl w:ilvl="8" w:tplc="82B49D3C">
      <w:start w:val="1"/>
      <w:numFmt w:val="bullet"/>
      <w:lvlText w:val=""/>
      <w:lvlJc w:val="left"/>
      <w:pPr>
        <w:ind w:left="6480" w:hanging="360"/>
      </w:pPr>
      <w:rPr>
        <w:rFonts w:ascii="Wingdings" w:hAnsi="Wingdings" w:hint="default"/>
      </w:rPr>
    </w:lvl>
  </w:abstractNum>
  <w:abstractNum w:abstractNumId="4" w15:restartNumberingAfterBreak="0">
    <w:nsid w:val="69F83911"/>
    <w:multiLevelType w:val="multilevel"/>
    <w:tmpl w:val="2EE8E43A"/>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A52BAE5"/>
    <w:multiLevelType w:val="hybridMultilevel"/>
    <w:tmpl w:val="8A3EE83C"/>
    <w:lvl w:ilvl="0" w:tplc="CC24126E">
      <w:start w:val="1"/>
      <w:numFmt w:val="bullet"/>
      <w:lvlText w:val=""/>
      <w:lvlJc w:val="left"/>
      <w:pPr>
        <w:ind w:left="720" w:hanging="360"/>
      </w:pPr>
      <w:rPr>
        <w:rFonts w:ascii="Wingdings" w:hAnsi="Wingdings" w:hint="default"/>
      </w:rPr>
    </w:lvl>
    <w:lvl w:ilvl="1" w:tplc="617C39AE">
      <w:start w:val="1"/>
      <w:numFmt w:val="bullet"/>
      <w:lvlText w:val="o"/>
      <w:lvlJc w:val="left"/>
      <w:pPr>
        <w:ind w:left="1440" w:hanging="360"/>
      </w:pPr>
      <w:rPr>
        <w:rFonts w:ascii="Courier New" w:hAnsi="Courier New" w:hint="default"/>
      </w:rPr>
    </w:lvl>
    <w:lvl w:ilvl="2" w:tplc="5328B362">
      <w:start w:val="1"/>
      <w:numFmt w:val="bullet"/>
      <w:lvlText w:val=""/>
      <w:lvlJc w:val="left"/>
      <w:pPr>
        <w:ind w:left="2160" w:hanging="360"/>
      </w:pPr>
      <w:rPr>
        <w:rFonts w:ascii="Wingdings" w:hAnsi="Wingdings" w:hint="default"/>
      </w:rPr>
    </w:lvl>
    <w:lvl w:ilvl="3" w:tplc="491E9290">
      <w:start w:val="1"/>
      <w:numFmt w:val="bullet"/>
      <w:lvlText w:val=""/>
      <w:lvlJc w:val="left"/>
      <w:pPr>
        <w:ind w:left="2880" w:hanging="360"/>
      </w:pPr>
      <w:rPr>
        <w:rFonts w:ascii="Symbol" w:hAnsi="Symbol" w:hint="default"/>
      </w:rPr>
    </w:lvl>
    <w:lvl w:ilvl="4" w:tplc="436ABB02">
      <w:start w:val="1"/>
      <w:numFmt w:val="bullet"/>
      <w:lvlText w:val="o"/>
      <w:lvlJc w:val="left"/>
      <w:pPr>
        <w:ind w:left="3600" w:hanging="360"/>
      </w:pPr>
      <w:rPr>
        <w:rFonts w:ascii="Courier New" w:hAnsi="Courier New" w:hint="default"/>
      </w:rPr>
    </w:lvl>
    <w:lvl w:ilvl="5" w:tplc="D968FD16">
      <w:start w:val="1"/>
      <w:numFmt w:val="bullet"/>
      <w:lvlText w:val=""/>
      <w:lvlJc w:val="left"/>
      <w:pPr>
        <w:ind w:left="4320" w:hanging="360"/>
      </w:pPr>
      <w:rPr>
        <w:rFonts w:ascii="Wingdings" w:hAnsi="Wingdings" w:hint="default"/>
      </w:rPr>
    </w:lvl>
    <w:lvl w:ilvl="6" w:tplc="D7DA59E0">
      <w:start w:val="1"/>
      <w:numFmt w:val="bullet"/>
      <w:lvlText w:val=""/>
      <w:lvlJc w:val="left"/>
      <w:pPr>
        <w:ind w:left="5040" w:hanging="360"/>
      </w:pPr>
      <w:rPr>
        <w:rFonts w:ascii="Symbol" w:hAnsi="Symbol" w:hint="default"/>
      </w:rPr>
    </w:lvl>
    <w:lvl w:ilvl="7" w:tplc="506EF97C">
      <w:start w:val="1"/>
      <w:numFmt w:val="bullet"/>
      <w:lvlText w:val="o"/>
      <w:lvlJc w:val="left"/>
      <w:pPr>
        <w:ind w:left="5760" w:hanging="360"/>
      </w:pPr>
      <w:rPr>
        <w:rFonts w:ascii="Courier New" w:hAnsi="Courier New" w:hint="default"/>
      </w:rPr>
    </w:lvl>
    <w:lvl w:ilvl="8" w:tplc="9FD4EE08">
      <w:start w:val="1"/>
      <w:numFmt w:val="bullet"/>
      <w:lvlText w:val=""/>
      <w:lvlJc w:val="left"/>
      <w:pPr>
        <w:ind w:left="6480" w:hanging="360"/>
      </w:pPr>
      <w:rPr>
        <w:rFonts w:ascii="Wingdings" w:hAnsi="Wingdings" w:hint="default"/>
      </w:rPr>
    </w:lvl>
  </w:abstractNum>
  <w:abstractNum w:abstractNumId="6" w15:restartNumberingAfterBreak="0">
    <w:nsid w:val="6C5FBCE4"/>
    <w:multiLevelType w:val="hybridMultilevel"/>
    <w:tmpl w:val="21F28630"/>
    <w:lvl w:ilvl="0" w:tplc="65E6B894">
      <w:start w:val="1"/>
      <w:numFmt w:val="bullet"/>
      <w:lvlText w:val=""/>
      <w:lvlJc w:val="left"/>
      <w:pPr>
        <w:ind w:left="720" w:hanging="360"/>
      </w:pPr>
      <w:rPr>
        <w:rFonts w:ascii="Wingdings" w:hAnsi="Wingdings" w:hint="default"/>
      </w:rPr>
    </w:lvl>
    <w:lvl w:ilvl="1" w:tplc="7F289C24">
      <w:start w:val="1"/>
      <w:numFmt w:val="bullet"/>
      <w:lvlText w:val="o"/>
      <w:lvlJc w:val="left"/>
      <w:pPr>
        <w:ind w:left="1440" w:hanging="360"/>
      </w:pPr>
      <w:rPr>
        <w:rFonts w:ascii="Courier New" w:hAnsi="Courier New" w:hint="default"/>
      </w:rPr>
    </w:lvl>
    <w:lvl w:ilvl="2" w:tplc="7CCE6640">
      <w:start w:val="1"/>
      <w:numFmt w:val="bullet"/>
      <w:lvlText w:val=""/>
      <w:lvlJc w:val="left"/>
      <w:pPr>
        <w:ind w:left="2160" w:hanging="360"/>
      </w:pPr>
      <w:rPr>
        <w:rFonts w:ascii="Wingdings" w:hAnsi="Wingdings" w:hint="default"/>
      </w:rPr>
    </w:lvl>
    <w:lvl w:ilvl="3" w:tplc="37287DAA">
      <w:start w:val="1"/>
      <w:numFmt w:val="bullet"/>
      <w:lvlText w:val=""/>
      <w:lvlJc w:val="left"/>
      <w:pPr>
        <w:ind w:left="2880" w:hanging="360"/>
      </w:pPr>
      <w:rPr>
        <w:rFonts w:ascii="Symbol" w:hAnsi="Symbol" w:hint="default"/>
      </w:rPr>
    </w:lvl>
    <w:lvl w:ilvl="4" w:tplc="571C60F6">
      <w:start w:val="1"/>
      <w:numFmt w:val="bullet"/>
      <w:lvlText w:val="o"/>
      <w:lvlJc w:val="left"/>
      <w:pPr>
        <w:ind w:left="3600" w:hanging="360"/>
      </w:pPr>
      <w:rPr>
        <w:rFonts w:ascii="Courier New" w:hAnsi="Courier New" w:hint="default"/>
      </w:rPr>
    </w:lvl>
    <w:lvl w:ilvl="5" w:tplc="254E72BE">
      <w:start w:val="1"/>
      <w:numFmt w:val="bullet"/>
      <w:lvlText w:val=""/>
      <w:lvlJc w:val="left"/>
      <w:pPr>
        <w:ind w:left="4320" w:hanging="360"/>
      </w:pPr>
      <w:rPr>
        <w:rFonts w:ascii="Wingdings" w:hAnsi="Wingdings" w:hint="default"/>
      </w:rPr>
    </w:lvl>
    <w:lvl w:ilvl="6" w:tplc="3F7039CE">
      <w:start w:val="1"/>
      <w:numFmt w:val="bullet"/>
      <w:lvlText w:val=""/>
      <w:lvlJc w:val="left"/>
      <w:pPr>
        <w:ind w:left="5040" w:hanging="360"/>
      </w:pPr>
      <w:rPr>
        <w:rFonts w:ascii="Symbol" w:hAnsi="Symbol" w:hint="default"/>
      </w:rPr>
    </w:lvl>
    <w:lvl w:ilvl="7" w:tplc="01B27CC6">
      <w:start w:val="1"/>
      <w:numFmt w:val="bullet"/>
      <w:lvlText w:val="o"/>
      <w:lvlJc w:val="left"/>
      <w:pPr>
        <w:ind w:left="5760" w:hanging="360"/>
      </w:pPr>
      <w:rPr>
        <w:rFonts w:ascii="Courier New" w:hAnsi="Courier New" w:hint="default"/>
      </w:rPr>
    </w:lvl>
    <w:lvl w:ilvl="8" w:tplc="35E63770">
      <w:start w:val="1"/>
      <w:numFmt w:val="bullet"/>
      <w:lvlText w:val=""/>
      <w:lvlJc w:val="left"/>
      <w:pPr>
        <w:ind w:left="6480" w:hanging="360"/>
      </w:pPr>
      <w:rPr>
        <w:rFonts w:ascii="Wingdings" w:hAnsi="Wingdings" w:hint="default"/>
      </w:rPr>
    </w:lvl>
  </w:abstractNum>
  <w:abstractNum w:abstractNumId="7" w15:restartNumberingAfterBreak="0">
    <w:nsid w:val="72F60359"/>
    <w:multiLevelType w:val="multilevel"/>
    <w:tmpl w:val="2D463426"/>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6503D2"/>
    <w:multiLevelType w:val="multilevel"/>
    <w:tmpl w:val="27FA0A38"/>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A2C36C8"/>
    <w:multiLevelType w:val="hybridMultilevel"/>
    <w:tmpl w:val="847AD856"/>
    <w:lvl w:ilvl="0" w:tplc="D7682B5E">
      <w:start w:val="1"/>
      <w:numFmt w:val="bullet"/>
      <w:lvlText w:val=""/>
      <w:lvlJc w:val="left"/>
      <w:pPr>
        <w:ind w:left="720" w:hanging="360"/>
      </w:pPr>
      <w:rPr>
        <w:rFonts w:ascii="Wingdings" w:hAnsi="Wingdings" w:hint="default"/>
      </w:rPr>
    </w:lvl>
    <w:lvl w:ilvl="1" w:tplc="0F72F60C">
      <w:start w:val="1"/>
      <w:numFmt w:val="bullet"/>
      <w:lvlText w:val="o"/>
      <w:lvlJc w:val="left"/>
      <w:pPr>
        <w:ind w:left="1440" w:hanging="360"/>
      </w:pPr>
      <w:rPr>
        <w:rFonts w:ascii="Courier New" w:hAnsi="Courier New" w:hint="default"/>
      </w:rPr>
    </w:lvl>
    <w:lvl w:ilvl="2" w:tplc="C648408A">
      <w:start w:val="1"/>
      <w:numFmt w:val="bullet"/>
      <w:lvlText w:val=""/>
      <w:lvlJc w:val="left"/>
      <w:pPr>
        <w:ind w:left="2160" w:hanging="360"/>
      </w:pPr>
      <w:rPr>
        <w:rFonts w:ascii="Wingdings" w:hAnsi="Wingdings" w:hint="default"/>
      </w:rPr>
    </w:lvl>
    <w:lvl w:ilvl="3" w:tplc="79C88416">
      <w:start w:val="1"/>
      <w:numFmt w:val="bullet"/>
      <w:lvlText w:val=""/>
      <w:lvlJc w:val="left"/>
      <w:pPr>
        <w:ind w:left="2880" w:hanging="360"/>
      </w:pPr>
      <w:rPr>
        <w:rFonts w:ascii="Symbol" w:hAnsi="Symbol" w:hint="default"/>
      </w:rPr>
    </w:lvl>
    <w:lvl w:ilvl="4" w:tplc="D0028B1C">
      <w:start w:val="1"/>
      <w:numFmt w:val="bullet"/>
      <w:lvlText w:val="o"/>
      <w:lvlJc w:val="left"/>
      <w:pPr>
        <w:ind w:left="3600" w:hanging="360"/>
      </w:pPr>
      <w:rPr>
        <w:rFonts w:ascii="Courier New" w:hAnsi="Courier New" w:hint="default"/>
      </w:rPr>
    </w:lvl>
    <w:lvl w:ilvl="5" w:tplc="119E35D0">
      <w:start w:val="1"/>
      <w:numFmt w:val="bullet"/>
      <w:lvlText w:val=""/>
      <w:lvlJc w:val="left"/>
      <w:pPr>
        <w:ind w:left="4320" w:hanging="360"/>
      </w:pPr>
      <w:rPr>
        <w:rFonts w:ascii="Wingdings" w:hAnsi="Wingdings" w:hint="default"/>
      </w:rPr>
    </w:lvl>
    <w:lvl w:ilvl="6" w:tplc="DC7E4D64">
      <w:start w:val="1"/>
      <w:numFmt w:val="bullet"/>
      <w:lvlText w:val=""/>
      <w:lvlJc w:val="left"/>
      <w:pPr>
        <w:ind w:left="5040" w:hanging="360"/>
      </w:pPr>
      <w:rPr>
        <w:rFonts w:ascii="Symbol" w:hAnsi="Symbol" w:hint="default"/>
      </w:rPr>
    </w:lvl>
    <w:lvl w:ilvl="7" w:tplc="6640FBE0">
      <w:start w:val="1"/>
      <w:numFmt w:val="bullet"/>
      <w:lvlText w:val="o"/>
      <w:lvlJc w:val="left"/>
      <w:pPr>
        <w:ind w:left="5760" w:hanging="360"/>
      </w:pPr>
      <w:rPr>
        <w:rFonts w:ascii="Courier New" w:hAnsi="Courier New" w:hint="default"/>
      </w:rPr>
    </w:lvl>
    <w:lvl w:ilvl="8" w:tplc="4BD00088">
      <w:start w:val="1"/>
      <w:numFmt w:val="bullet"/>
      <w:lvlText w:val=""/>
      <w:lvlJc w:val="left"/>
      <w:pPr>
        <w:ind w:left="6480" w:hanging="360"/>
      </w:pPr>
      <w:rPr>
        <w:rFonts w:ascii="Wingdings" w:hAnsi="Wingdings" w:hint="default"/>
      </w:rPr>
    </w:lvl>
  </w:abstractNum>
  <w:num w:numId="1" w16cid:durableId="2120758418">
    <w:abstractNumId w:val="2"/>
  </w:num>
  <w:num w:numId="2" w16cid:durableId="1083918146">
    <w:abstractNumId w:val="5"/>
  </w:num>
  <w:num w:numId="3" w16cid:durableId="1140806711">
    <w:abstractNumId w:val="8"/>
  </w:num>
  <w:num w:numId="4" w16cid:durableId="795639441">
    <w:abstractNumId w:val="4"/>
  </w:num>
  <w:num w:numId="5" w16cid:durableId="833951467">
    <w:abstractNumId w:val="6"/>
  </w:num>
  <w:num w:numId="6" w16cid:durableId="60180236">
    <w:abstractNumId w:val="9"/>
  </w:num>
  <w:num w:numId="7" w16cid:durableId="163209888">
    <w:abstractNumId w:val="0"/>
  </w:num>
  <w:num w:numId="8" w16cid:durableId="1402487178">
    <w:abstractNumId w:val="7"/>
  </w:num>
  <w:num w:numId="9" w16cid:durableId="340662837">
    <w:abstractNumId w:val="3"/>
  </w:num>
  <w:num w:numId="10" w16cid:durableId="1015378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174"/>
    <w:rsid w:val="00045CD7"/>
    <w:rsid w:val="00103ED4"/>
    <w:rsid w:val="001352A2"/>
    <w:rsid w:val="001F4780"/>
    <w:rsid w:val="00A751A0"/>
    <w:rsid w:val="00E901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4686"/>
  <w15:chartTrackingRefBased/>
  <w15:docId w15:val="{08C7E35D-28D3-4FEE-BB55-5873DFC0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01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901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9017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9017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9017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9017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9017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9017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9017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9017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9017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9017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9017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9017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9017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9017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9017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90174"/>
    <w:rPr>
      <w:rFonts w:eastAsiaTheme="majorEastAsia" w:cstheme="majorBidi"/>
      <w:color w:val="272727" w:themeColor="text1" w:themeTint="D8"/>
    </w:rPr>
  </w:style>
  <w:style w:type="paragraph" w:styleId="Titre">
    <w:name w:val="Title"/>
    <w:basedOn w:val="Normal"/>
    <w:next w:val="Normal"/>
    <w:link w:val="TitreCar"/>
    <w:uiPriority w:val="10"/>
    <w:qFormat/>
    <w:rsid w:val="00E90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9017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9017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9017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90174"/>
    <w:pPr>
      <w:spacing w:before="160"/>
      <w:jc w:val="center"/>
    </w:pPr>
    <w:rPr>
      <w:i/>
      <w:iCs/>
      <w:color w:val="404040" w:themeColor="text1" w:themeTint="BF"/>
    </w:rPr>
  </w:style>
  <w:style w:type="character" w:customStyle="1" w:styleId="CitationCar">
    <w:name w:val="Citation Car"/>
    <w:basedOn w:val="Policepardfaut"/>
    <w:link w:val="Citation"/>
    <w:uiPriority w:val="29"/>
    <w:rsid w:val="00E90174"/>
    <w:rPr>
      <w:i/>
      <w:iCs/>
      <w:color w:val="404040" w:themeColor="text1" w:themeTint="BF"/>
    </w:rPr>
  </w:style>
  <w:style w:type="paragraph" w:styleId="Paragraphedeliste">
    <w:name w:val="List Paragraph"/>
    <w:basedOn w:val="Normal"/>
    <w:uiPriority w:val="34"/>
    <w:qFormat/>
    <w:rsid w:val="00E90174"/>
    <w:pPr>
      <w:ind w:left="720"/>
      <w:contextualSpacing/>
    </w:pPr>
  </w:style>
  <w:style w:type="character" w:styleId="Accentuationintense">
    <w:name w:val="Intense Emphasis"/>
    <w:basedOn w:val="Policepardfaut"/>
    <w:uiPriority w:val="21"/>
    <w:qFormat/>
    <w:rsid w:val="00E90174"/>
    <w:rPr>
      <w:i/>
      <w:iCs/>
      <w:color w:val="0F4761" w:themeColor="accent1" w:themeShade="BF"/>
    </w:rPr>
  </w:style>
  <w:style w:type="paragraph" w:styleId="Citationintense">
    <w:name w:val="Intense Quote"/>
    <w:basedOn w:val="Normal"/>
    <w:next w:val="Normal"/>
    <w:link w:val="CitationintenseCar"/>
    <w:uiPriority w:val="30"/>
    <w:qFormat/>
    <w:rsid w:val="00E901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90174"/>
    <w:rPr>
      <w:i/>
      <w:iCs/>
      <w:color w:val="0F4761" w:themeColor="accent1" w:themeShade="BF"/>
    </w:rPr>
  </w:style>
  <w:style w:type="character" w:styleId="Rfrenceintense">
    <w:name w:val="Intense Reference"/>
    <w:basedOn w:val="Policepardfaut"/>
    <w:uiPriority w:val="32"/>
    <w:qFormat/>
    <w:rsid w:val="00E901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2195</Words>
  <Characters>12077</Characters>
  <Application>Microsoft Office Word</Application>
  <DocSecurity>0</DocSecurity>
  <Lines>100</Lines>
  <Paragraphs>28</Paragraphs>
  <ScaleCrop>false</ScaleCrop>
  <Company/>
  <LinksUpToDate>false</LinksUpToDate>
  <CharactersWithSpaces>14244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CAILLOUX 768</dc:creator>
  <cp:keywords/>
  <dc:description/>
  <cp:lastModifiedBy>Valerie CAILLOUX 768</cp:lastModifiedBy>
  <cp:revision>3</cp:revision>
  <dcterms:created xsi:type="dcterms:W3CDTF">2025-12-31T12:41:00Z</dcterms:created>
  <dcterms:modified xsi:type="dcterms:W3CDTF">2025-12-31T13:05:00Z</dcterms:modified>
</cp:coreProperties>
</file>